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F4" w:rsidRDefault="001608F4" w:rsidP="001608F4">
      <w:pPr>
        <w:spacing w:after="0" w:line="240" w:lineRule="auto"/>
        <w:ind w:left="9214"/>
        <w:rPr>
          <w:rFonts w:ascii="Times New Roman" w:eastAsia="Times New Roman" w:hAnsi="Times New Roman"/>
          <w:b/>
          <w:kern w:val="2"/>
          <w:sz w:val="24"/>
          <w:szCs w:val="24"/>
          <w:lang w:eastAsia="ru-RU"/>
        </w:rPr>
      </w:pPr>
      <w:r>
        <w:rPr>
          <w:rFonts w:ascii="Times New Roman" w:eastAsia="Times New Roman" w:hAnsi="Times New Roman"/>
          <w:b/>
          <w:kern w:val="2"/>
          <w:sz w:val="24"/>
          <w:szCs w:val="24"/>
          <w:lang w:eastAsia="ru-RU"/>
        </w:rPr>
        <w:t>Приложение № 24</w:t>
      </w:r>
    </w:p>
    <w:p w:rsidR="001608F4" w:rsidRDefault="001608F4" w:rsidP="001608F4">
      <w:pPr>
        <w:ind w:left="9214"/>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к Правилам взаимодействия банков и организаций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rsidR="008820D6" w:rsidRPr="009B3B43" w:rsidRDefault="009B7EB7" w:rsidP="008D345B">
      <w:pPr>
        <w:pStyle w:val="a3"/>
        <w:tabs>
          <w:tab w:val="left" w:pos="1418"/>
        </w:tabs>
        <w:spacing w:after="120" w:line="312" w:lineRule="auto"/>
        <w:ind w:left="709" w:right="40" w:firstLine="0"/>
        <w:jc w:val="center"/>
      </w:pPr>
      <w:r w:rsidRPr="009B3B43">
        <w:rPr>
          <w:b/>
          <w:sz w:val="24"/>
          <w:szCs w:val="24"/>
        </w:rPr>
        <w:t xml:space="preserve">Требования к </w:t>
      </w:r>
      <w:r w:rsidR="001B7660" w:rsidRPr="009B3B43">
        <w:rPr>
          <w:b/>
          <w:sz w:val="24"/>
          <w:szCs w:val="24"/>
        </w:rPr>
        <w:t xml:space="preserve">показателям </w:t>
      </w:r>
      <w:r w:rsidRPr="009B3B43">
        <w:rPr>
          <w:b/>
          <w:sz w:val="24"/>
          <w:szCs w:val="24"/>
        </w:rPr>
        <w:t>риск-метрик инвестиционного проекта</w:t>
      </w:r>
      <w:r w:rsidR="008820D6" w:rsidRPr="009B3B43">
        <w:rPr>
          <w:b/>
          <w:sz w:val="24"/>
          <w:szCs w:val="24"/>
        </w:rPr>
        <w:t xml:space="preserve">, рассматриваемого по </w:t>
      </w:r>
      <w:r w:rsidR="001B7660" w:rsidRPr="009B3B43">
        <w:rPr>
          <w:b/>
          <w:sz w:val="24"/>
          <w:szCs w:val="24"/>
        </w:rPr>
        <w:t xml:space="preserve">обращению Финансовой организации-партнера </w:t>
      </w:r>
      <w:r w:rsidR="008820D6" w:rsidRPr="009B3B43">
        <w:rPr>
          <w:b/>
          <w:sz w:val="24"/>
          <w:szCs w:val="24"/>
        </w:rPr>
        <w:t xml:space="preserve">в рамках Регламента Центра поддержки инвестиционного кредитования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82"/>
        <w:gridCol w:w="544"/>
        <w:gridCol w:w="2421"/>
        <w:gridCol w:w="4167"/>
        <w:gridCol w:w="1961"/>
        <w:gridCol w:w="1535"/>
        <w:gridCol w:w="1996"/>
      </w:tblGrid>
      <w:tr w:rsidR="00B1482E" w:rsidRPr="009B3B43" w:rsidTr="008D345B">
        <w:trPr>
          <w:trHeight w:val="241"/>
        </w:trPr>
        <w:tc>
          <w:tcPr>
            <w:tcW w:w="0" w:type="auto"/>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w:t>
            </w:r>
          </w:p>
        </w:tc>
        <w:tc>
          <w:tcPr>
            <w:tcW w:w="198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Тип сделки</w:t>
            </w:r>
          </w:p>
        </w:tc>
        <w:tc>
          <w:tcPr>
            <w:tcW w:w="2965"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Показатель</w:t>
            </w:r>
            <w:r w:rsidRPr="009B3B43">
              <w:rPr>
                <w:rStyle w:val="a8"/>
                <w:rFonts w:ascii="Times New Roman" w:eastAsia="Times New Roman" w:hAnsi="Times New Roman"/>
                <w:b/>
                <w:bCs/>
                <w:color w:val="000000"/>
                <w:sz w:val="20"/>
                <w:szCs w:val="20"/>
                <w:lang w:eastAsia="ru-RU"/>
              </w:rPr>
              <w:footnoteReference w:id="1"/>
            </w:r>
          </w:p>
        </w:tc>
        <w:tc>
          <w:tcPr>
            <w:tcW w:w="41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Методика расчета показателя</w:t>
            </w:r>
            <w:r w:rsidRPr="009B3B43">
              <w:rPr>
                <w:rStyle w:val="a8"/>
                <w:rFonts w:ascii="Times New Roman" w:eastAsia="Times New Roman" w:hAnsi="Times New Roman"/>
                <w:b/>
                <w:bCs/>
                <w:color w:val="000000"/>
                <w:sz w:val="20"/>
                <w:szCs w:val="20"/>
                <w:lang w:eastAsia="ru-RU"/>
              </w:rPr>
              <w:footnoteReference w:customMarkFollows="1" w:id="2"/>
              <w:t>2</w:t>
            </w:r>
          </w:p>
        </w:tc>
        <w:tc>
          <w:tcPr>
            <w:tcW w:w="196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Целевое значение показателя</w:t>
            </w:r>
            <w:r w:rsidRPr="009B3B43">
              <w:rPr>
                <w:rStyle w:val="a8"/>
                <w:rFonts w:ascii="Times New Roman" w:eastAsia="Times New Roman" w:hAnsi="Times New Roman"/>
                <w:b/>
                <w:bCs/>
                <w:color w:val="000000"/>
                <w:sz w:val="20"/>
                <w:szCs w:val="20"/>
                <w:lang w:eastAsia="ru-RU"/>
              </w:rPr>
              <w:footnoteReference w:customMarkFollows="1" w:id="3"/>
              <w:t>3</w:t>
            </w:r>
          </w:p>
        </w:tc>
        <w:tc>
          <w:tcPr>
            <w:tcW w:w="1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Расчетное значение показателя</w:t>
            </w:r>
          </w:p>
        </w:tc>
        <w:tc>
          <w:tcPr>
            <w:tcW w:w="199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Примененная корректировка</w:t>
            </w:r>
          </w:p>
          <w:p w:rsidR="00B1482E" w:rsidRPr="009B3B43" w:rsidRDefault="00B1482E">
            <w:pPr>
              <w:spacing w:after="0" w:line="300" w:lineRule="auto"/>
              <w:contextualSpacing/>
              <w:jc w:val="center"/>
              <w:rPr>
                <w:rFonts w:ascii="Times New Roman" w:eastAsia="Times New Roman" w:hAnsi="Times New Roman"/>
                <w:b/>
                <w:bCs/>
                <w:color w:val="000000"/>
                <w:sz w:val="20"/>
                <w:szCs w:val="20"/>
                <w:lang w:eastAsia="ru-RU"/>
              </w:rPr>
            </w:pPr>
            <w:r w:rsidRPr="009B3B43">
              <w:rPr>
                <w:rFonts w:ascii="Times New Roman" w:eastAsia="Times New Roman" w:hAnsi="Times New Roman"/>
                <w:b/>
                <w:bCs/>
                <w:color w:val="000000"/>
                <w:sz w:val="20"/>
                <w:szCs w:val="20"/>
                <w:lang w:eastAsia="ru-RU"/>
              </w:rPr>
              <w:t>(обоснование)</w:t>
            </w:r>
          </w:p>
        </w:tc>
      </w:tr>
      <w:tr w:rsidR="00B1482E" w:rsidRPr="009B3B43" w:rsidTr="008D345B">
        <w:trPr>
          <w:trHeight w:val="241"/>
        </w:trPr>
        <w:tc>
          <w:tcPr>
            <w:tcW w:w="0" w:type="auto"/>
            <w:tcBorders>
              <w:top w:val="single" w:sz="4" w:space="0" w:color="auto"/>
              <w:left w:val="single" w:sz="4" w:space="0" w:color="auto"/>
              <w:bottom w:val="single" w:sz="4" w:space="0" w:color="auto"/>
              <w:right w:val="single" w:sz="4" w:space="0" w:color="auto"/>
            </w:tcBorders>
            <w:noWrap/>
            <w:vAlign w:val="center"/>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1</w:t>
            </w:r>
          </w:p>
        </w:tc>
        <w:tc>
          <w:tcPr>
            <w:tcW w:w="1982"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2</w:t>
            </w:r>
          </w:p>
        </w:tc>
        <w:tc>
          <w:tcPr>
            <w:tcW w:w="2965" w:type="dxa"/>
            <w:gridSpan w:val="2"/>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3</w:t>
            </w:r>
          </w:p>
        </w:tc>
        <w:tc>
          <w:tcPr>
            <w:tcW w:w="4167"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4</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5</w:t>
            </w:r>
          </w:p>
        </w:tc>
        <w:tc>
          <w:tcPr>
            <w:tcW w:w="1535" w:type="dxa"/>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6</w:t>
            </w:r>
          </w:p>
        </w:tc>
        <w:tc>
          <w:tcPr>
            <w:tcW w:w="1996"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center"/>
              <w:rPr>
                <w:rFonts w:ascii="Times New Roman" w:eastAsia="Times New Roman" w:hAnsi="Times New Roman"/>
                <w:bCs/>
                <w:color w:val="000000"/>
                <w:sz w:val="20"/>
                <w:szCs w:val="20"/>
                <w:lang w:eastAsia="ru-RU"/>
              </w:rPr>
            </w:pPr>
            <w:r w:rsidRPr="009B3B43">
              <w:rPr>
                <w:rFonts w:ascii="Times New Roman" w:eastAsia="Times New Roman" w:hAnsi="Times New Roman"/>
                <w:bCs/>
                <w:color w:val="000000"/>
                <w:sz w:val="20"/>
                <w:szCs w:val="20"/>
                <w:lang w:eastAsia="ru-RU"/>
              </w:rPr>
              <w:t>7</w:t>
            </w:r>
          </w:p>
        </w:tc>
      </w:tr>
      <w:tr w:rsidR="00B1482E" w:rsidRPr="009B3B43" w:rsidTr="008D345B">
        <w:trPr>
          <w:trHeight w:val="558"/>
        </w:trPr>
        <w:tc>
          <w:tcPr>
            <w:tcW w:w="0" w:type="auto"/>
            <w:vMerge w:val="restart"/>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1.    </w:t>
            </w:r>
          </w:p>
        </w:tc>
        <w:tc>
          <w:tcPr>
            <w:tcW w:w="1982" w:type="dxa"/>
            <w:vMerge w:val="restart"/>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Финансирование инвестиций в рамках текущей деятельности</w:t>
            </w: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1.1</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 xml:space="preserve">Отношение </w:t>
            </w:r>
            <w:r w:rsidRPr="009B3B43">
              <w:rPr>
                <w:rFonts w:ascii="Times New Roman" w:eastAsia="Times New Roman" w:hAnsi="Times New Roman"/>
                <w:b/>
                <w:color w:val="000000"/>
                <w:sz w:val="20"/>
                <w:szCs w:val="20"/>
                <w:lang w:eastAsia="ru-RU"/>
              </w:rPr>
              <w:t xml:space="preserve">Текущего долга </w:t>
            </w:r>
            <w:r w:rsidRPr="009B3B43">
              <w:rPr>
                <w:rFonts w:ascii="Times New Roman" w:eastAsia="Times New Roman" w:hAnsi="Times New Roman"/>
                <w:color w:val="000000"/>
                <w:sz w:val="20"/>
                <w:szCs w:val="20"/>
                <w:lang w:eastAsia="ru-RU"/>
              </w:rPr>
              <w:t xml:space="preserve">(с учетом привлекаемого кредита) к </w:t>
            </w:r>
            <w:r w:rsidRPr="009B3B43">
              <w:rPr>
                <w:rFonts w:ascii="Times New Roman" w:eastAsia="Times New Roman" w:hAnsi="Times New Roman"/>
                <w:b/>
                <w:color w:val="000000"/>
                <w:sz w:val="20"/>
                <w:szCs w:val="20"/>
                <w:lang w:eastAsia="ru-RU"/>
              </w:rPr>
              <w:t xml:space="preserve">EBITDA </w:t>
            </w:r>
            <w:r w:rsidRPr="009B3B43">
              <w:rPr>
                <w:rFonts w:ascii="Times New Roman" w:eastAsia="Times New Roman" w:hAnsi="Times New Roman"/>
                <w:color w:val="000000"/>
                <w:sz w:val="20"/>
                <w:szCs w:val="20"/>
                <w:lang w:eastAsia="ru-RU"/>
              </w:rPr>
              <w:t>за последние 12 месяцев</w:t>
            </w:r>
            <w:r w:rsidRPr="009B3B43">
              <w:rPr>
                <w:rStyle w:val="a8"/>
                <w:rFonts w:ascii="Times New Roman" w:eastAsia="Times New Roman" w:hAnsi="Times New Roman"/>
                <w:color w:val="000000"/>
                <w:sz w:val="20"/>
                <w:szCs w:val="20"/>
                <w:lang w:eastAsia="ru-RU"/>
              </w:rPr>
              <w:footnoteReference w:customMarkFollows="1" w:id="4"/>
              <w:t>4</w:t>
            </w:r>
          </w:p>
        </w:tc>
        <w:tc>
          <w:tcPr>
            <w:tcW w:w="4167" w:type="dxa"/>
            <w:tcBorders>
              <w:top w:val="single" w:sz="4" w:space="0" w:color="auto"/>
              <w:left w:val="single" w:sz="4" w:space="0" w:color="auto"/>
              <w:bottom w:val="single" w:sz="4" w:space="0" w:color="auto"/>
              <w:right w:val="single" w:sz="4" w:space="0" w:color="auto"/>
            </w:tcBorders>
          </w:tcPr>
          <w:p w:rsidR="00B1482E" w:rsidRPr="009B3B43" w:rsidRDefault="00B1482E">
            <w:pPr>
              <w:widowControl w:val="0"/>
              <w:spacing w:after="0" w:line="300" w:lineRule="auto"/>
              <w:contextualSpacing/>
              <w:jc w:val="both"/>
              <w:rPr>
                <w:rFonts w:ascii="Times New Roman" w:eastAsiaTheme="minorHAnsi" w:hAnsi="Times New Roman"/>
                <w:iCs/>
                <w:sz w:val="20"/>
                <w:szCs w:val="20"/>
                <w:lang w:eastAsia="en-US"/>
              </w:rPr>
            </w:pPr>
            <w:r w:rsidRPr="009B3B43">
              <w:rPr>
                <w:rFonts w:ascii="Times New Roman" w:hAnsi="Times New Roman"/>
                <w:b/>
                <w:iCs/>
                <w:sz w:val="20"/>
                <w:szCs w:val="20"/>
              </w:rPr>
              <w:t>«Текущий долг»</w:t>
            </w:r>
            <w:r w:rsidRPr="009B3B43">
              <w:rPr>
                <w:rFonts w:ascii="Times New Roman" w:hAnsi="Times New Roman"/>
                <w:iCs/>
                <w:sz w:val="20"/>
                <w:szCs w:val="20"/>
              </w:rPr>
              <w:t xml:space="preserve"> -  сумма показателей: Краткосрочные заемные средства (ст. 1510 «Заемные средства») + Долгосрочные заемные средства(ст. 1410 «Заемные средства») + </w:t>
            </w:r>
            <w:r w:rsidRPr="009B3B43">
              <w:rPr>
                <w:rFonts w:ascii="Times New Roman" w:hAnsi="Times New Roman"/>
                <w:sz w:val="20"/>
                <w:szCs w:val="20"/>
              </w:rPr>
              <w:t>Прочие долгосрочные обязательства за минусом остатка платежей по договорам лизинга (стр. 1450 «прочие обязательства») + Прочие краткосрочные обязательства</w:t>
            </w:r>
            <w:r w:rsidRPr="009B3B43">
              <w:rPr>
                <w:rFonts w:ascii="Times New Roman" w:hAnsi="Times New Roman"/>
                <w:sz w:val="16"/>
                <w:szCs w:val="16"/>
              </w:rPr>
              <w:t xml:space="preserve"> </w:t>
            </w:r>
            <w:r w:rsidRPr="009B3B43">
              <w:rPr>
                <w:rFonts w:ascii="Times New Roman" w:hAnsi="Times New Roman"/>
                <w:sz w:val="20"/>
                <w:szCs w:val="20"/>
              </w:rPr>
              <w:t xml:space="preserve">за минусом остатка платежей по договорам лизинга)  (стр. 1550 «Прочие обязательства») + Остаток платежей по договорам лизинга + Сумма открытых невыбранных лимитов по действующим </w:t>
            </w:r>
            <w:r w:rsidRPr="009B3B43">
              <w:rPr>
                <w:rFonts w:ascii="Times New Roman" w:hAnsi="Times New Roman"/>
                <w:sz w:val="20"/>
                <w:szCs w:val="20"/>
              </w:rPr>
              <w:lastRenderedPageBreak/>
              <w:t>кредитным соглашениям и договорам займов</w:t>
            </w:r>
            <w:r w:rsidRPr="009B3B43">
              <w:rPr>
                <w:rStyle w:val="a8"/>
                <w:rFonts w:ascii="Times New Roman" w:hAnsi="Times New Roman"/>
                <w:sz w:val="20"/>
                <w:szCs w:val="20"/>
              </w:rPr>
              <w:footnoteReference w:customMarkFollows="1" w:id="5"/>
              <w:t>5</w:t>
            </w:r>
            <w:r w:rsidRPr="009B3B43">
              <w:rPr>
                <w:rFonts w:ascii="Times New Roman" w:hAnsi="Times New Roman"/>
                <w:sz w:val="20"/>
                <w:szCs w:val="20"/>
              </w:rPr>
              <w:t xml:space="preserve"> </w:t>
            </w:r>
            <w:r w:rsidRPr="009B3B43">
              <w:rPr>
                <w:rFonts w:ascii="Times New Roman" w:hAnsi="Times New Roman"/>
                <w:iCs/>
                <w:sz w:val="20"/>
                <w:szCs w:val="20"/>
              </w:rPr>
              <w:t xml:space="preserve">+ </w:t>
            </w:r>
            <w:r w:rsidRPr="009B3B43">
              <w:rPr>
                <w:rFonts w:ascii="Times New Roman" w:eastAsia="Times New Roman" w:hAnsi="Times New Roman"/>
                <w:color w:val="000000"/>
                <w:sz w:val="20"/>
                <w:szCs w:val="20"/>
                <w:lang w:eastAsia="ru-RU"/>
              </w:rPr>
              <w:t>Сумма устанавливаемого кредитного лимита (в том числе в обеспечение кото</w:t>
            </w:r>
            <w:r w:rsidR="00021B75" w:rsidRPr="009B3B43">
              <w:rPr>
                <w:rFonts w:ascii="Times New Roman" w:eastAsia="Times New Roman" w:hAnsi="Times New Roman"/>
                <w:color w:val="000000"/>
                <w:sz w:val="20"/>
                <w:szCs w:val="20"/>
                <w:lang w:eastAsia="ru-RU"/>
              </w:rPr>
              <w:t>рого предусмотрено привлечение Н</w:t>
            </w:r>
            <w:r w:rsidRPr="009B3B43">
              <w:rPr>
                <w:rFonts w:ascii="Times New Roman" w:eastAsia="Times New Roman" w:hAnsi="Times New Roman"/>
                <w:color w:val="000000"/>
                <w:sz w:val="20"/>
                <w:szCs w:val="20"/>
                <w:lang w:eastAsia="ru-RU"/>
              </w:rPr>
              <w:t>езависимой гарантии Корпорации)</w:t>
            </w:r>
            <w:r w:rsidRPr="009B3B43">
              <w:rPr>
                <w:rFonts w:ascii="Times New Roman" w:eastAsia="Times New Roman" w:hAnsi="Times New Roman"/>
                <w:color w:val="000000"/>
                <w:sz w:val="20"/>
                <w:szCs w:val="20"/>
                <w:vertAlign w:val="superscript"/>
                <w:lang w:eastAsia="ru-RU"/>
              </w:rPr>
              <w:t>5</w:t>
            </w:r>
            <w:r w:rsidRPr="009B3B43">
              <w:rPr>
                <w:rFonts w:ascii="Times New Roman" w:hAnsi="Times New Roman"/>
                <w:sz w:val="20"/>
                <w:szCs w:val="20"/>
              </w:rPr>
              <w:t xml:space="preserve">+ </w:t>
            </w:r>
            <w:r w:rsidRPr="009B3B43">
              <w:rPr>
                <w:rFonts w:ascii="Times New Roman" w:eastAsia="Times New Roman" w:hAnsi="Times New Roman"/>
                <w:color w:val="000000"/>
                <w:sz w:val="20"/>
                <w:szCs w:val="20"/>
                <w:lang w:eastAsia="ru-RU"/>
              </w:rPr>
              <w:t xml:space="preserve">Сумма установленных лимитов финансирования по </w:t>
            </w:r>
            <w:r w:rsidRPr="009B3B43">
              <w:rPr>
                <w:rFonts w:ascii="Times New Roman" w:hAnsi="Times New Roman"/>
                <w:sz w:val="20"/>
                <w:szCs w:val="20"/>
              </w:rPr>
              <w:t>договорам факторинга, предусматривающим право финансового агента (фактора) предъявить требование к Заемщику и (или) Участникам группы Заемщика в случае неисполнения обязательств по договору  должником (п.3 ст.827 ГК РФ)</w:t>
            </w:r>
            <w:r w:rsidRPr="009B3B43">
              <w:rPr>
                <w:rFonts w:ascii="Times New Roman" w:hAnsi="Times New Roman"/>
                <w:sz w:val="20"/>
                <w:szCs w:val="20"/>
                <w:vertAlign w:val="superscript"/>
              </w:rPr>
              <w:t>5</w:t>
            </w:r>
            <w:r w:rsidRPr="009B3B43">
              <w:rPr>
                <w:rFonts w:ascii="Times New Roman" w:hAnsi="Times New Roman"/>
                <w:sz w:val="20"/>
                <w:szCs w:val="20"/>
              </w:rPr>
              <w:t xml:space="preserve"> </w:t>
            </w:r>
            <w:r w:rsidRPr="009B3B43">
              <w:rPr>
                <w:rFonts w:ascii="Times New Roman" w:eastAsia="Times New Roman" w:hAnsi="Times New Roman"/>
                <w:color w:val="000000"/>
                <w:sz w:val="20"/>
                <w:szCs w:val="20"/>
                <w:lang w:eastAsia="ru-RU"/>
              </w:rPr>
              <w:t>+</w:t>
            </w:r>
            <w:r w:rsidRPr="009B3B43">
              <w:rPr>
                <w:rFonts w:ascii="Times New Roman" w:hAnsi="Times New Roman"/>
                <w:sz w:val="20"/>
                <w:szCs w:val="20"/>
              </w:rPr>
              <w:t xml:space="preserve"> Сумма кредитов и займов, привлеченных после наступления квартальной даты, по состоянию на которую производится расчет настоящего показателя (на основе данных бухгалтерской справки Заемщика и (или) Участников группы Заемщика – Сумма кредитов (кредитных лимитов) и займов, планируемых к рефинансированию/замещению за счет рассматриваемого кредита (кредитного лимита)  – Сумма переданных в заклад Финансовой организации-партнеру векселей, выпущенных в результате новации задолженности по полученным займам, со сроком погашения, превышающим срок рассматриваемого кредита (устанавливаемого лимита) – Сумма </w:t>
            </w:r>
            <w:r w:rsidRPr="009B3B43">
              <w:rPr>
                <w:rFonts w:ascii="Times New Roman" w:eastAsia="Times New Roman" w:hAnsi="Times New Roman"/>
                <w:color w:val="000000"/>
                <w:sz w:val="20"/>
                <w:szCs w:val="20"/>
                <w:lang w:eastAsia="ru-RU"/>
              </w:rPr>
              <w:t xml:space="preserve">субординированной задолженности по кредитам и займам, а также прочим долгосрочным и краткосрочным обязательствам посредством заключения </w:t>
            </w:r>
            <w:proofErr w:type="spellStart"/>
            <w:r w:rsidRPr="009B3B43">
              <w:rPr>
                <w:rFonts w:ascii="Times New Roman" w:eastAsia="Times New Roman" w:hAnsi="Times New Roman"/>
                <w:color w:val="000000"/>
                <w:sz w:val="20"/>
                <w:szCs w:val="20"/>
                <w:lang w:eastAsia="ru-RU"/>
              </w:rPr>
              <w:t>межкредиторских</w:t>
            </w:r>
            <w:proofErr w:type="spellEnd"/>
            <w:r w:rsidRPr="009B3B43">
              <w:rPr>
                <w:rFonts w:ascii="Times New Roman" w:eastAsia="Times New Roman" w:hAnsi="Times New Roman"/>
                <w:color w:val="000000"/>
                <w:sz w:val="20"/>
                <w:szCs w:val="20"/>
                <w:lang w:eastAsia="ru-RU"/>
              </w:rPr>
              <w:t xml:space="preserve"> соглашений, в соответствии с   условиями которых  </w:t>
            </w:r>
            <w:r w:rsidRPr="009B3B43">
              <w:rPr>
                <w:rFonts w:ascii="Times New Roman" w:hAnsi="Times New Roman"/>
                <w:sz w:val="20"/>
                <w:szCs w:val="20"/>
              </w:rPr>
              <w:t xml:space="preserve">срок погашения </w:t>
            </w:r>
            <w:r w:rsidRPr="009B3B43">
              <w:rPr>
                <w:rFonts w:ascii="Times New Roman" w:hAnsi="Times New Roman"/>
                <w:sz w:val="20"/>
                <w:szCs w:val="20"/>
              </w:rPr>
              <w:lastRenderedPageBreak/>
              <w:t>субординированных обязательств превышает срок погашения рассматриваемого кредита (устанавливаемого лимита) (далее – Субординированные обязательства) – Сумма кредитов и займов, погашенная после наступления квартальной даты, на которую производится расчет показателя (на основе данных бухгалтерской справки Заемщика и (или) Участников группы Заемщика)</w:t>
            </w:r>
            <w:r w:rsidRPr="009B3B43">
              <w:rPr>
                <w:rStyle w:val="a8"/>
                <w:rFonts w:ascii="Times New Roman" w:hAnsi="Times New Roman"/>
                <w:iCs/>
                <w:sz w:val="20"/>
                <w:szCs w:val="20"/>
              </w:rPr>
              <w:t>4</w:t>
            </w:r>
            <w:r w:rsidRPr="009B3B43">
              <w:rPr>
                <w:rFonts w:ascii="Times New Roman" w:hAnsi="Times New Roman"/>
                <w:iCs/>
                <w:sz w:val="20"/>
                <w:szCs w:val="20"/>
              </w:rPr>
              <w:t>.</w:t>
            </w:r>
          </w:p>
          <w:p w:rsidR="00B1482E" w:rsidRPr="009B3B43" w:rsidRDefault="00B1482E">
            <w:pPr>
              <w:widowControl w:val="0"/>
              <w:spacing w:after="0" w:line="300" w:lineRule="auto"/>
              <w:contextualSpacing/>
              <w:jc w:val="both"/>
              <w:rPr>
                <w:rFonts w:ascii="Times New Roman" w:hAnsi="Times New Roman"/>
                <w:iCs/>
                <w:sz w:val="20"/>
                <w:szCs w:val="20"/>
              </w:rPr>
            </w:pPr>
          </w:p>
          <w:p w:rsidR="00B1482E" w:rsidRPr="009B3B43" w:rsidRDefault="00B1482E">
            <w:pPr>
              <w:spacing w:after="0" w:line="300" w:lineRule="auto"/>
              <w:contextualSpacing/>
              <w:jc w:val="both"/>
              <w:rPr>
                <w:rFonts w:ascii="Times New Roman" w:hAnsi="Times New Roman"/>
                <w:sz w:val="20"/>
                <w:szCs w:val="20"/>
              </w:rPr>
            </w:pPr>
            <w:r w:rsidRPr="009B3B43">
              <w:rPr>
                <w:rFonts w:ascii="Times New Roman" w:hAnsi="Times New Roman"/>
                <w:b/>
                <w:sz w:val="20"/>
                <w:szCs w:val="20"/>
              </w:rPr>
              <w:t xml:space="preserve">«EBITDA» </w:t>
            </w:r>
            <w:r w:rsidRPr="009B3B43">
              <w:rPr>
                <w:rFonts w:ascii="Times New Roman" w:hAnsi="Times New Roman"/>
                <w:sz w:val="20"/>
                <w:szCs w:val="20"/>
              </w:rPr>
              <w:t>(рассчитывается</w:t>
            </w:r>
            <w:r w:rsidRPr="009B3B43">
              <w:rPr>
                <w:rFonts w:ascii="Times New Roman" w:hAnsi="Times New Roman"/>
                <w:b/>
                <w:sz w:val="20"/>
                <w:szCs w:val="20"/>
              </w:rPr>
              <w:t xml:space="preserve"> </w:t>
            </w:r>
            <w:r w:rsidRPr="009B3B43">
              <w:rPr>
                <w:rFonts w:ascii="Times New Roman" w:hAnsi="Times New Roman"/>
                <w:sz w:val="20"/>
                <w:szCs w:val="20"/>
              </w:rPr>
              <w:t xml:space="preserve">за период, равный 12 месяцам, предшествующим квартальной дате): строка 2200 Отчета о финансовых результатах «Прибыль (убыток) от продаж» + сумма амортизационных отчислений (стр. 5640 пояснений к бухгалтерскому балансу и отчету о финансовых результатах или справка Заемщика о величине амортизационных отчислений за аналогичный период) </w:t>
            </w: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не более 5,0</w:t>
            </w:r>
          </w:p>
        </w:tc>
        <w:tc>
          <w:tcPr>
            <w:tcW w:w="1535"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1.2</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 xml:space="preserve">Отношение </w:t>
            </w:r>
            <w:r w:rsidRPr="009B3B43">
              <w:rPr>
                <w:rFonts w:ascii="Times New Roman" w:eastAsia="Times New Roman" w:hAnsi="Times New Roman"/>
                <w:b/>
                <w:color w:val="000000"/>
                <w:sz w:val="20"/>
                <w:szCs w:val="20"/>
                <w:lang w:eastAsia="ru-RU"/>
              </w:rPr>
              <w:t>Прибыли до уплаты процентов и налогов (EBIT)</w:t>
            </w:r>
            <w:r w:rsidRPr="009B3B43">
              <w:rPr>
                <w:rFonts w:ascii="Times New Roman" w:eastAsia="Times New Roman" w:hAnsi="Times New Roman"/>
                <w:color w:val="000000"/>
                <w:sz w:val="20"/>
                <w:szCs w:val="20"/>
                <w:lang w:eastAsia="ru-RU"/>
              </w:rPr>
              <w:t xml:space="preserve"> к сумме </w:t>
            </w:r>
            <w:r w:rsidRPr="009B3B43">
              <w:rPr>
                <w:rFonts w:ascii="Times New Roman" w:eastAsia="Times New Roman" w:hAnsi="Times New Roman"/>
                <w:b/>
                <w:color w:val="000000"/>
                <w:sz w:val="20"/>
                <w:szCs w:val="20"/>
                <w:lang w:eastAsia="ru-RU"/>
              </w:rPr>
              <w:t>Процентов к уплате</w:t>
            </w:r>
            <w:r w:rsidRPr="009B3B43">
              <w:rPr>
                <w:rFonts w:ascii="Times New Roman" w:eastAsia="Times New Roman" w:hAnsi="Times New Roman"/>
                <w:color w:val="000000"/>
                <w:sz w:val="20"/>
                <w:szCs w:val="20"/>
                <w:lang w:eastAsia="ru-RU"/>
              </w:rPr>
              <w:t xml:space="preserve"> с учетом рассматриваемого кредита</w:t>
            </w:r>
          </w:p>
        </w:tc>
        <w:tc>
          <w:tcPr>
            <w:tcW w:w="4167"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heme="minorHAnsi" w:hAnsi="Times New Roman"/>
                <w:sz w:val="20"/>
                <w:szCs w:val="20"/>
                <w:lang w:eastAsia="en-US"/>
              </w:rPr>
            </w:pPr>
            <w:r w:rsidRPr="009B3B43">
              <w:rPr>
                <w:rFonts w:ascii="Times New Roman" w:eastAsia="Times New Roman" w:hAnsi="Times New Roman"/>
                <w:b/>
                <w:color w:val="000000"/>
                <w:sz w:val="20"/>
                <w:szCs w:val="20"/>
                <w:lang w:eastAsia="ru-RU"/>
              </w:rPr>
              <w:t>«Прибыль до уплаты процентов и налогов (EBIT)»</w:t>
            </w:r>
            <w:r w:rsidRPr="009B3B43">
              <w:rPr>
                <w:rFonts w:ascii="Times New Roman" w:hAnsi="Times New Roman"/>
                <w:sz w:val="20"/>
                <w:szCs w:val="20"/>
              </w:rPr>
              <w:t xml:space="preserve"> (рассчитывается</w:t>
            </w:r>
            <w:r w:rsidRPr="009B3B43">
              <w:rPr>
                <w:rFonts w:ascii="Times New Roman" w:hAnsi="Times New Roman"/>
                <w:b/>
                <w:sz w:val="20"/>
                <w:szCs w:val="20"/>
              </w:rPr>
              <w:t xml:space="preserve"> </w:t>
            </w:r>
            <w:r w:rsidRPr="009B3B43">
              <w:rPr>
                <w:rFonts w:ascii="Times New Roman" w:hAnsi="Times New Roman"/>
                <w:sz w:val="20"/>
                <w:szCs w:val="20"/>
              </w:rPr>
              <w:t>за период, равный 12 месяцам, предшествующим квартальной дате): строка 2200 Отчета о финансовых результатах «Прибыль (убыток) от продаж»</w:t>
            </w:r>
            <w:r w:rsidRPr="009B3B43">
              <w:rPr>
                <w:rStyle w:val="a8"/>
                <w:rFonts w:ascii="Times New Roman" w:hAnsi="Times New Roman"/>
                <w:sz w:val="20"/>
                <w:szCs w:val="20"/>
              </w:rPr>
              <w:t xml:space="preserve"> </w:t>
            </w:r>
          </w:p>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p w:rsidR="00B1482E" w:rsidRPr="009B3B43" w:rsidRDefault="00B1482E">
            <w:pPr>
              <w:widowControl w:val="0"/>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b/>
                <w:color w:val="000000"/>
                <w:sz w:val="20"/>
                <w:szCs w:val="20"/>
                <w:lang w:eastAsia="ru-RU"/>
              </w:rPr>
              <w:t>«Проценты к уплате»:</w:t>
            </w:r>
            <w:r w:rsidRPr="009B3B43">
              <w:rPr>
                <w:rFonts w:ascii="Times New Roman" w:eastAsia="Times New Roman" w:hAnsi="Times New Roman"/>
                <w:color w:val="000000"/>
                <w:sz w:val="20"/>
                <w:szCs w:val="20"/>
                <w:lang w:eastAsia="ru-RU"/>
              </w:rPr>
              <w:t xml:space="preserve"> </w:t>
            </w:r>
            <w:r w:rsidRPr="009B3B43">
              <w:rPr>
                <w:rFonts w:ascii="Times New Roman" w:hAnsi="Times New Roman"/>
                <w:sz w:val="20"/>
                <w:szCs w:val="20"/>
              </w:rPr>
              <w:t>значение по ст. 2330 «Проценты к уплате» (рассчитывается</w:t>
            </w:r>
            <w:r w:rsidRPr="009B3B43">
              <w:rPr>
                <w:rFonts w:ascii="Times New Roman" w:hAnsi="Times New Roman"/>
                <w:b/>
                <w:sz w:val="20"/>
                <w:szCs w:val="20"/>
              </w:rPr>
              <w:t xml:space="preserve"> </w:t>
            </w:r>
            <w:r w:rsidRPr="009B3B43">
              <w:rPr>
                <w:rFonts w:ascii="Times New Roman" w:hAnsi="Times New Roman"/>
                <w:sz w:val="20"/>
                <w:szCs w:val="20"/>
              </w:rPr>
              <w:t xml:space="preserve">за период, равный 12 месяцам, предшествующим квартальной дате) + Прогнозируемая сумма процентов к уплате рассчитанная за период, равный 12 месяцам исходя из полной выборки открытых невыбранных лимитов по действующим </w:t>
            </w:r>
            <w:r w:rsidRPr="009B3B43">
              <w:rPr>
                <w:rFonts w:ascii="Times New Roman" w:hAnsi="Times New Roman"/>
                <w:sz w:val="20"/>
                <w:szCs w:val="20"/>
              </w:rPr>
              <w:lastRenderedPageBreak/>
              <w:t>кредитным соглашениям и договорам займов</w:t>
            </w:r>
            <w:r w:rsidRPr="009B3B43">
              <w:rPr>
                <w:rStyle w:val="a8"/>
                <w:rFonts w:ascii="Times New Roman" w:hAnsi="Times New Roman"/>
                <w:sz w:val="20"/>
                <w:szCs w:val="20"/>
              </w:rPr>
              <w:footnoteReference w:customMarkFollows="1" w:id="6"/>
              <w:t>6</w:t>
            </w:r>
            <w:r w:rsidRPr="009B3B43">
              <w:rPr>
                <w:rFonts w:ascii="Times New Roman" w:hAnsi="Times New Roman"/>
                <w:sz w:val="20"/>
                <w:szCs w:val="20"/>
              </w:rPr>
              <w:t xml:space="preserve"> + Прогнозируемая сумма процентов к уплате рассчитанная за период, равный 12 месяцам исходя из полной выборки </w:t>
            </w:r>
            <w:r w:rsidRPr="009B3B43">
              <w:rPr>
                <w:rFonts w:ascii="Times New Roman" w:eastAsia="Times New Roman" w:hAnsi="Times New Roman"/>
                <w:color w:val="000000"/>
                <w:sz w:val="20"/>
                <w:szCs w:val="20"/>
                <w:lang w:eastAsia="ru-RU"/>
              </w:rPr>
              <w:t>устанавливаемого кредитного лимита</w:t>
            </w:r>
            <w:r w:rsidRPr="009B3B43">
              <w:rPr>
                <w:rStyle w:val="a8"/>
                <w:rFonts w:ascii="Times New Roman" w:eastAsia="Times New Roman" w:hAnsi="Times New Roman"/>
                <w:color w:val="000000"/>
                <w:sz w:val="20"/>
                <w:szCs w:val="20"/>
                <w:lang w:eastAsia="ru-RU"/>
              </w:rPr>
              <w:t>6</w:t>
            </w:r>
            <w:r w:rsidRPr="009B3B43">
              <w:rPr>
                <w:rFonts w:ascii="Times New Roman" w:eastAsia="Times New Roman" w:hAnsi="Times New Roman"/>
                <w:color w:val="000000"/>
                <w:sz w:val="20"/>
                <w:szCs w:val="20"/>
                <w:lang w:eastAsia="ru-RU"/>
              </w:rPr>
              <w:t xml:space="preserve"> + </w:t>
            </w:r>
            <w:r w:rsidRPr="009B3B43">
              <w:rPr>
                <w:rFonts w:ascii="Times New Roman" w:hAnsi="Times New Roman"/>
                <w:sz w:val="20"/>
                <w:szCs w:val="20"/>
              </w:rPr>
              <w:t>Сумма процентов к уплате рассчитанная за период, равный 12 месяцам исходя из полной выборки кредитов и займов, полученных после наступления квартальной даты, по состоянию на которую производится расчет показателя - Сумма процентов к уплате по кредитам (лимитам) и займам, планируемым к рефинансированию/замещению за счет устанавливаемого кредитного лимита, рассчитанная за период, равный 12 месяцам, предшествующим квартальной дате, по состоянию на которую производится расчет показателя - Сумма процентов к уплате по субординированным (</w:t>
            </w:r>
            <w:proofErr w:type="spellStart"/>
            <w:r w:rsidRPr="009B3B43">
              <w:rPr>
                <w:rFonts w:ascii="Times New Roman" w:hAnsi="Times New Roman"/>
                <w:sz w:val="20"/>
                <w:szCs w:val="20"/>
              </w:rPr>
              <w:t>субординируемым</w:t>
            </w:r>
            <w:proofErr w:type="spellEnd"/>
            <w:r w:rsidRPr="009B3B43">
              <w:rPr>
                <w:rFonts w:ascii="Times New Roman" w:hAnsi="Times New Roman"/>
                <w:sz w:val="20"/>
                <w:szCs w:val="20"/>
              </w:rPr>
              <w:t>) обязательствам, рассчитанная за период, равный 12 месяцам, предшествующим квартальной дате, по состоянию на которую производится расчет показателя - Сумма процентов к уплате по кредитам и займам, погашенных после наступления квартальной даты, по состоянию на которую производится расчет показателя, рассчитанная за период, равный 12 месяцам, предшествующим квартальной дате по состоянию на которую производится расчет показателя</w:t>
            </w:r>
            <w:r w:rsidRPr="009B3B43">
              <w:rPr>
                <w:rFonts w:ascii="Times New Roman" w:hAnsi="Times New Roman"/>
                <w:b/>
                <w:iCs/>
                <w:sz w:val="20"/>
                <w:szCs w:val="20"/>
              </w:rPr>
              <w:t>.</w:t>
            </w:r>
          </w:p>
        </w:tc>
        <w:tc>
          <w:tcPr>
            <w:tcW w:w="1961" w:type="dxa"/>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не менее  1,2</w:t>
            </w:r>
          </w:p>
        </w:tc>
        <w:tc>
          <w:tcPr>
            <w:tcW w:w="1535" w:type="dxa"/>
            <w:tcBorders>
              <w:top w:val="single" w:sz="4" w:space="0" w:color="auto"/>
              <w:left w:val="single" w:sz="4" w:space="0" w:color="auto"/>
              <w:bottom w:val="single" w:sz="4" w:space="0" w:color="auto"/>
              <w:right w:val="single" w:sz="4" w:space="0" w:color="auto"/>
            </w:tcBorders>
            <w:noWrap/>
            <w:vAlign w:val="center"/>
            <w:hideMark/>
          </w:tcPr>
          <w:p w:rsidR="00B1482E" w:rsidRPr="009B3B43" w:rsidRDefault="00B1482E">
            <w:pPr>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1.3</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 xml:space="preserve">Отношение </w:t>
            </w:r>
            <w:r w:rsidRPr="009B3B43">
              <w:rPr>
                <w:rFonts w:ascii="Times New Roman" w:eastAsia="Times New Roman" w:hAnsi="Times New Roman"/>
                <w:b/>
                <w:color w:val="000000"/>
                <w:sz w:val="20"/>
                <w:szCs w:val="20"/>
                <w:lang w:eastAsia="ru-RU"/>
              </w:rPr>
              <w:t>Собственного капитала</w:t>
            </w:r>
            <w:r w:rsidRPr="009B3B43">
              <w:rPr>
                <w:rFonts w:ascii="Times New Roman" w:eastAsia="Times New Roman" w:hAnsi="Times New Roman"/>
                <w:color w:val="000000"/>
                <w:sz w:val="20"/>
                <w:szCs w:val="20"/>
                <w:vertAlign w:val="superscript"/>
                <w:lang w:eastAsia="ru-RU"/>
              </w:rPr>
              <w:t xml:space="preserve"> </w:t>
            </w:r>
            <w:r w:rsidRPr="009B3B43">
              <w:rPr>
                <w:rFonts w:ascii="Times New Roman" w:eastAsia="Times New Roman" w:hAnsi="Times New Roman"/>
                <w:color w:val="000000"/>
                <w:sz w:val="20"/>
                <w:szCs w:val="20"/>
                <w:lang w:eastAsia="ru-RU"/>
              </w:rPr>
              <w:t xml:space="preserve">на последнюю отчетную </w:t>
            </w:r>
            <w:r w:rsidRPr="009B3B43">
              <w:rPr>
                <w:rFonts w:ascii="Times New Roman" w:eastAsia="Times New Roman" w:hAnsi="Times New Roman"/>
                <w:color w:val="000000"/>
                <w:sz w:val="20"/>
                <w:szCs w:val="20"/>
                <w:lang w:eastAsia="ru-RU"/>
              </w:rPr>
              <w:lastRenderedPageBreak/>
              <w:t xml:space="preserve">(квартальную) дату к </w:t>
            </w:r>
            <w:r w:rsidRPr="009B3B43">
              <w:rPr>
                <w:rFonts w:ascii="Times New Roman" w:eastAsia="Times New Roman" w:hAnsi="Times New Roman"/>
                <w:b/>
                <w:color w:val="000000"/>
                <w:sz w:val="20"/>
                <w:szCs w:val="20"/>
                <w:lang w:eastAsia="ru-RU"/>
              </w:rPr>
              <w:t>Активам</w:t>
            </w:r>
          </w:p>
        </w:tc>
        <w:tc>
          <w:tcPr>
            <w:tcW w:w="4167" w:type="dxa"/>
            <w:tcBorders>
              <w:top w:val="single" w:sz="4" w:space="0" w:color="auto"/>
              <w:left w:val="single" w:sz="4" w:space="0" w:color="auto"/>
              <w:bottom w:val="single" w:sz="4" w:space="0" w:color="auto"/>
              <w:right w:val="single" w:sz="4" w:space="0" w:color="auto"/>
            </w:tcBorders>
          </w:tcPr>
          <w:p w:rsidR="00B1482E" w:rsidRPr="009B3B43" w:rsidRDefault="00B1482E">
            <w:pPr>
              <w:widowControl w:val="0"/>
              <w:spacing w:after="0" w:line="300" w:lineRule="auto"/>
              <w:contextualSpacing/>
              <w:jc w:val="both"/>
              <w:rPr>
                <w:rFonts w:ascii="Times New Roman" w:eastAsiaTheme="minorHAnsi" w:hAnsi="Times New Roman"/>
                <w:sz w:val="20"/>
                <w:szCs w:val="20"/>
                <w:lang w:eastAsia="en-US"/>
              </w:rPr>
            </w:pPr>
            <w:r w:rsidRPr="009B3B43">
              <w:rPr>
                <w:rFonts w:ascii="Times New Roman" w:eastAsia="Times New Roman" w:hAnsi="Times New Roman"/>
                <w:b/>
                <w:color w:val="000000"/>
                <w:sz w:val="20"/>
                <w:szCs w:val="20"/>
                <w:lang w:eastAsia="ru-RU"/>
              </w:rPr>
              <w:lastRenderedPageBreak/>
              <w:t>«Собственный капитал»:</w:t>
            </w:r>
            <w:r w:rsidRPr="009B3B43">
              <w:rPr>
                <w:rFonts w:ascii="Times New Roman" w:eastAsia="Times New Roman" w:hAnsi="Times New Roman"/>
                <w:color w:val="000000"/>
                <w:sz w:val="20"/>
                <w:szCs w:val="20"/>
                <w:lang w:eastAsia="ru-RU"/>
              </w:rPr>
              <w:t xml:space="preserve"> </w:t>
            </w:r>
            <w:r w:rsidRPr="009B3B43">
              <w:rPr>
                <w:rFonts w:ascii="Times New Roman" w:hAnsi="Times New Roman"/>
                <w:sz w:val="20"/>
                <w:szCs w:val="20"/>
              </w:rPr>
              <w:t xml:space="preserve">Итог по разделу III бухгалтерского баланса (стр. 1300) + Сумма Субординированных обязательств – Объем </w:t>
            </w:r>
            <w:r w:rsidRPr="009B3B43">
              <w:rPr>
                <w:rFonts w:ascii="Times New Roman" w:hAnsi="Times New Roman"/>
                <w:sz w:val="20"/>
                <w:szCs w:val="20"/>
              </w:rPr>
              <w:lastRenderedPageBreak/>
              <w:t>дебиторской задолженности, которая признана Заемщиком и (или) Участниками группы Заемщика просроченной и (или)  в отношении которой Заемщиком предъявлены исковые требования и (или) дебиторы по которой выступают ответчиками по исковым заявлениям, сумма которых превышает 20% величины собственного капитала дебиторов на последнюю годовую отчетную дату) и (или) по которой отсутствует кредитовый оборот по счетам бухгалтерского учета за период, равный 12 месяцам, предшествующим квартальной дате по состоянию на которую производится расчет показателя (за исключением задолженности, срок погашения которой по условиям договора на основании которого она образована превышает 180 дней) – ст. 1170 «</w:t>
            </w:r>
            <w:r w:rsidRPr="009B3B43">
              <w:rPr>
                <w:rFonts w:ascii="Times New Roman" w:hAnsi="Times New Roman"/>
                <w:color w:val="000000"/>
                <w:sz w:val="20"/>
                <w:szCs w:val="20"/>
                <w:shd w:val="clear" w:color="auto" w:fill="FFFFFF"/>
              </w:rPr>
              <w:t xml:space="preserve">Финансовые вложения» и (или) </w:t>
            </w:r>
            <w:r w:rsidRPr="009B3B43">
              <w:rPr>
                <w:rFonts w:ascii="Times New Roman" w:hAnsi="Times New Roman"/>
                <w:sz w:val="20"/>
                <w:szCs w:val="20"/>
              </w:rPr>
              <w:t>ст. 1240 «</w:t>
            </w:r>
            <w:r w:rsidRPr="009B3B43">
              <w:rPr>
                <w:rFonts w:ascii="Times New Roman" w:hAnsi="Times New Roman"/>
                <w:color w:val="000000"/>
                <w:sz w:val="20"/>
                <w:szCs w:val="20"/>
                <w:shd w:val="clear" w:color="auto" w:fill="FFFFFF"/>
              </w:rPr>
              <w:t xml:space="preserve">Финансовые вложения (за исключением денежных эквивалентов)» в сумме </w:t>
            </w:r>
            <w:r w:rsidRPr="009B3B43">
              <w:rPr>
                <w:rFonts w:ascii="Times New Roman" w:hAnsi="Times New Roman"/>
                <w:sz w:val="20"/>
                <w:szCs w:val="20"/>
              </w:rPr>
              <w:t>просроченных финансовых вложений – ст. 1210 «Запасы» в сумме запасов, по которым отсутствует кредитовый оборот по счетам бухгалтерского учета за период, равный 12 месяцам, предшествующим квартальной дате, на которую производится расчет показателя – ст. 1260 «</w:t>
            </w:r>
            <w:r w:rsidRPr="009B3B43">
              <w:rPr>
                <w:rFonts w:ascii="Times New Roman" w:hAnsi="Times New Roman"/>
                <w:color w:val="000000"/>
                <w:sz w:val="20"/>
                <w:szCs w:val="20"/>
                <w:shd w:val="clear" w:color="auto" w:fill="FFFFFF"/>
              </w:rPr>
              <w:t>Прочие оборотные активы» в сумме</w:t>
            </w:r>
            <w:r w:rsidRPr="009B3B43">
              <w:rPr>
                <w:rFonts w:ascii="Times New Roman" w:hAnsi="Times New Roman"/>
                <w:sz w:val="20"/>
                <w:szCs w:val="20"/>
              </w:rPr>
              <w:t xml:space="preserve"> прочих оборотных активов по которым отсутствует кредитовый оборот по счетам бухгалтерского учета за период, равный 12 месяцам, предшествующим квартальной дате, на которую производится расчет показателя – сальдо по счету 97 «Расходы будущих периодов».</w:t>
            </w:r>
          </w:p>
          <w:p w:rsidR="00B1482E" w:rsidRPr="009B3B43" w:rsidRDefault="00B1482E">
            <w:pPr>
              <w:widowControl w:val="0"/>
              <w:spacing w:after="0" w:line="300" w:lineRule="auto"/>
              <w:contextualSpacing/>
              <w:jc w:val="both"/>
              <w:rPr>
                <w:rFonts w:ascii="Times New Roman" w:hAnsi="Times New Roman"/>
                <w:sz w:val="20"/>
                <w:szCs w:val="20"/>
              </w:rPr>
            </w:pPr>
          </w:p>
          <w:p w:rsidR="00B1482E" w:rsidRPr="009B3B43" w:rsidRDefault="00B1482E" w:rsidP="008D345B">
            <w:pPr>
              <w:widowControl w:val="0"/>
              <w:spacing w:after="0" w:line="300" w:lineRule="auto"/>
              <w:contextualSpacing/>
              <w:jc w:val="both"/>
              <w:rPr>
                <w:rFonts w:ascii="Times New Roman" w:hAnsi="Times New Roman"/>
                <w:sz w:val="20"/>
                <w:szCs w:val="20"/>
              </w:rPr>
            </w:pPr>
            <w:r w:rsidRPr="009B3B43">
              <w:rPr>
                <w:rFonts w:ascii="Times New Roman" w:hAnsi="Times New Roman"/>
                <w:b/>
                <w:sz w:val="20"/>
                <w:szCs w:val="20"/>
              </w:rPr>
              <w:lastRenderedPageBreak/>
              <w:t>«Активы»:</w:t>
            </w:r>
            <w:r w:rsidRPr="009B3B43">
              <w:rPr>
                <w:rFonts w:ascii="Times New Roman" w:hAnsi="Times New Roman"/>
                <w:sz w:val="20"/>
                <w:szCs w:val="20"/>
              </w:rPr>
              <w:t xml:space="preserve"> ст.</w:t>
            </w:r>
            <w:r w:rsidRPr="009B3B43">
              <w:rPr>
                <w:rFonts w:ascii="Times New Roman" w:hAnsi="Times New Roman"/>
                <w:color w:val="000000"/>
                <w:sz w:val="20"/>
                <w:szCs w:val="20"/>
              </w:rPr>
              <w:t>1600 (</w:t>
            </w:r>
            <w:r w:rsidRPr="009B3B43">
              <w:rPr>
                <w:rFonts w:ascii="Times New Roman" w:hAnsi="Times New Roman"/>
                <w:color w:val="000000"/>
                <w:sz w:val="20"/>
                <w:szCs w:val="20"/>
                <w:shd w:val="clear" w:color="auto" w:fill="FFFFFF"/>
              </w:rPr>
              <w:t xml:space="preserve">БАЛАНС (актив)) </w:t>
            </w:r>
            <w:r w:rsidRPr="009B3B43">
              <w:rPr>
                <w:rFonts w:ascii="Times New Roman" w:hAnsi="Times New Roman"/>
                <w:sz w:val="20"/>
                <w:szCs w:val="20"/>
              </w:rPr>
              <w:t>– Объем дебиторской задолженности, которая признана Заемщиком и (или) Участниками группы Заемщиком просроченной и (или) и (или)  в отношении которой Заемщиком предъявлены исковые требования и (или) дебиторы по которой выступают ответчиками по исковым заявлениям, сумма которых превышает 20% величины чистых активов дебиторов на последнюю годовую отчетную дату) и (или) по которой отсутствует кредитовый оборот по счетам бухгалтерского учета за период, равный 12 месяцам, предшествующим квартальной дате по состоянию на которую производится расчет показателя (за исключением задолженности, срок погашения которой по условиям договора на основании которого она образована превышает 180 дней) – ст. 1170 «</w:t>
            </w:r>
            <w:r w:rsidRPr="009B3B43">
              <w:rPr>
                <w:rFonts w:ascii="Times New Roman" w:hAnsi="Times New Roman"/>
                <w:color w:val="000000"/>
                <w:sz w:val="20"/>
                <w:szCs w:val="20"/>
                <w:shd w:val="clear" w:color="auto" w:fill="FFFFFF"/>
              </w:rPr>
              <w:t xml:space="preserve">Финансовые вложения» и (или) </w:t>
            </w:r>
            <w:r w:rsidRPr="009B3B43">
              <w:rPr>
                <w:rFonts w:ascii="Times New Roman" w:hAnsi="Times New Roman"/>
                <w:sz w:val="20"/>
                <w:szCs w:val="20"/>
              </w:rPr>
              <w:t>ст. 1240 «</w:t>
            </w:r>
            <w:r w:rsidRPr="009B3B43">
              <w:rPr>
                <w:rFonts w:ascii="Times New Roman" w:hAnsi="Times New Roman"/>
                <w:color w:val="000000"/>
                <w:sz w:val="20"/>
                <w:szCs w:val="20"/>
                <w:shd w:val="clear" w:color="auto" w:fill="FFFFFF"/>
              </w:rPr>
              <w:t xml:space="preserve">Финансовые вложения (за исключением денежных эквивалентов)» в сумме </w:t>
            </w:r>
            <w:r w:rsidRPr="009B3B43">
              <w:rPr>
                <w:rFonts w:ascii="Times New Roman" w:hAnsi="Times New Roman"/>
                <w:sz w:val="20"/>
                <w:szCs w:val="20"/>
              </w:rPr>
              <w:t>просроченных финансовых вложений – ст. 1210 «Запасы» в сумме запасов, по которым отсутствует кредитовый оборот по счетам бухгалтерского учета за период, равный 12 месяцам, предшествующим квартальной дате, на которую производится расчет показателя – ст. 1260 «</w:t>
            </w:r>
            <w:r w:rsidRPr="009B3B43">
              <w:rPr>
                <w:rFonts w:ascii="Times New Roman" w:hAnsi="Times New Roman"/>
                <w:color w:val="000000"/>
                <w:sz w:val="20"/>
                <w:szCs w:val="20"/>
                <w:shd w:val="clear" w:color="auto" w:fill="FFFFFF"/>
              </w:rPr>
              <w:t>Прочие оборотные активы» в сумме</w:t>
            </w:r>
            <w:r w:rsidRPr="009B3B43">
              <w:rPr>
                <w:rFonts w:ascii="Times New Roman" w:hAnsi="Times New Roman"/>
                <w:sz w:val="20"/>
                <w:szCs w:val="20"/>
              </w:rPr>
              <w:t xml:space="preserve"> прочих оборотных активов по которым отсутствует кредитовый оборот по счетам бухгалтерского учета за период, равный 12 месяцам, предшествующим квартальной дате, на которую производится расчет показателя – сальдо по счету 97 «Расходы будущих периодов».</w:t>
            </w: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не менее 0,2</w:t>
            </w:r>
          </w:p>
        </w:tc>
        <w:tc>
          <w:tcPr>
            <w:tcW w:w="1535"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1.4</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021B75">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Срок Н</w:t>
            </w:r>
            <w:r w:rsidR="00B1482E" w:rsidRPr="009B3B43">
              <w:rPr>
                <w:rFonts w:ascii="Times New Roman" w:eastAsia="Times New Roman" w:hAnsi="Times New Roman"/>
                <w:color w:val="000000"/>
                <w:sz w:val="20"/>
                <w:szCs w:val="20"/>
                <w:lang w:eastAsia="ru-RU"/>
              </w:rPr>
              <w:t>езависимой гарантии</w:t>
            </w:r>
          </w:p>
        </w:tc>
        <w:tc>
          <w:tcPr>
            <w:tcW w:w="4167"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w:t>
            </w:r>
          </w:p>
        </w:tc>
        <w:tc>
          <w:tcPr>
            <w:tcW w:w="1961" w:type="dxa"/>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r w:rsidRPr="009B3B43">
              <w:rPr>
                <w:rFonts w:ascii="Times New Roman" w:eastAsia="Times New Roman" w:hAnsi="Times New Roman"/>
                <w:color w:val="000000"/>
                <w:sz w:val="20"/>
                <w:szCs w:val="20"/>
                <w:lang w:eastAsia="ru-RU"/>
              </w:rPr>
              <w:t>Инвестиционная фаза</w:t>
            </w:r>
            <w:r w:rsidRPr="009B3B43">
              <w:rPr>
                <w:rStyle w:val="a8"/>
                <w:rFonts w:ascii="Times New Roman" w:eastAsia="Times New Roman" w:hAnsi="Times New Roman"/>
                <w:color w:val="000000"/>
                <w:sz w:val="20"/>
                <w:szCs w:val="20"/>
                <w:lang w:eastAsia="ru-RU"/>
              </w:rPr>
              <w:footnoteReference w:customMarkFollows="1" w:id="7"/>
              <w:t>7</w:t>
            </w:r>
            <w:r w:rsidRPr="009B3B43">
              <w:rPr>
                <w:rFonts w:ascii="Times New Roman" w:eastAsia="Times New Roman" w:hAnsi="Times New Roman"/>
                <w:color w:val="000000"/>
                <w:sz w:val="20"/>
                <w:szCs w:val="20"/>
                <w:lang w:eastAsia="ru-RU"/>
              </w:rPr>
              <w:t xml:space="preserve"> + 12 мес.</w:t>
            </w:r>
          </w:p>
        </w:tc>
        <w:tc>
          <w:tcPr>
            <w:tcW w:w="1535" w:type="dxa"/>
            <w:tcBorders>
              <w:top w:val="single" w:sz="4" w:space="0" w:color="auto"/>
              <w:left w:val="single" w:sz="4" w:space="0" w:color="auto"/>
              <w:bottom w:val="single" w:sz="4" w:space="0" w:color="auto"/>
              <w:right w:val="single" w:sz="4" w:space="0" w:color="auto"/>
            </w:tcBorders>
            <w:noWrap/>
            <w:vAlign w:val="center"/>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p>
        </w:tc>
      </w:tr>
      <w:tr w:rsidR="00B1482E" w:rsidRPr="009B3B43" w:rsidTr="008D345B">
        <w:trPr>
          <w:trHeight w:val="725"/>
        </w:trPr>
        <w:tc>
          <w:tcPr>
            <w:tcW w:w="0" w:type="auto"/>
            <w:vMerge w:val="restart"/>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2.    </w:t>
            </w:r>
          </w:p>
        </w:tc>
        <w:tc>
          <w:tcPr>
            <w:tcW w:w="1982" w:type="dxa"/>
            <w:vMerge w:val="restart"/>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Проектное финансирование</w:t>
            </w: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2.1</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Коэффициент покрытия выплат по обслуживанию и погашению долга денежным потоком в течение эксплуатационной фазе (DSCR), рассчитываемый за период, равный 12 месяцам (далее - Период).</w:t>
            </w:r>
          </w:p>
        </w:tc>
        <w:tc>
          <w:tcPr>
            <w:tcW w:w="4167"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2728"/>
            </w:tblGrid>
            <w:tr w:rsidR="00B1482E" w:rsidRPr="009B3B43">
              <w:trPr>
                <w:trHeight w:val="268"/>
                <w:jc w:val="center"/>
              </w:trPr>
              <w:tc>
                <w:tcPr>
                  <w:tcW w:w="1319" w:type="dxa"/>
                  <w:vMerge w:val="restart"/>
                  <w:vAlign w:val="center"/>
                  <w:hideMark/>
                </w:tcPr>
                <w:p w:rsidR="00B1482E" w:rsidRPr="009B3B43" w:rsidRDefault="00B1482E">
                  <w:pPr>
                    <w:spacing w:after="0" w:line="300" w:lineRule="auto"/>
                    <w:contextualSpacing/>
                    <w:jc w:val="both"/>
                    <w:rPr>
                      <w:rFonts w:ascii="Times New Roman" w:eastAsia="Times New Roman" w:hAnsi="Times New Roman"/>
                      <w:b/>
                      <w:color w:val="000000"/>
                      <w:sz w:val="20"/>
                      <w:szCs w:val="20"/>
                      <w:lang w:val="en-US" w:eastAsia="ru-RU"/>
                    </w:rPr>
                  </w:pPr>
                  <w:r w:rsidRPr="009B3B43">
                    <w:rPr>
                      <w:rFonts w:ascii="Times New Roman" w:eastAsia="Times New Roman" w:hAnsi="Times New Roman"/>
                      <w:b/>
                      <w:color w:val="000000"/>
                      <w:sz w:val="20"/>
                      <w:szCs w:val="20"/>
                      <w:lang w:val="en-US" w:eastAsia="ru-RU"/>
                    </w:rPr>
                    <w:t xml:space="preserve">DSCR    = </w:t>
                  </w:r>
                </w:p>
              </w:tc>
              <w:tc>
                <w:tcPr>
                  <w:tcW w:w="3165" w:type="dxa"/>
                  <w:vAlign w:val="center"/>
                  <w:hideMark/>
                </w:tcPr>
                <w:p w:rsidR="00B1482E" w:rsidRPr="009B3B43" w:rsidRDefault="00B1482E">
                  <w:pPr>
                    <w:spacing w:after="0" w:line="300" w:lineRule="auto"/>
                    <w:contextualSpacing/>
                    <w:jc w:val="both"/>
                    <w:rPr>
                      <w:rFonts w:ascii="Times New Roman" w:eastAsia="Times New Roman" w:hAnsi="Times New Roman"/>
                      <w:b/>
                      <w:color w:val="000000"/>
                      <w:sz w:val="20"/>
                      <w:szCs w:val="20"/>
                      <w:u w:val="single"/>
                      <w:lang w:val="en-US" w:eastAsia="ru-RU"/>
                    </w:rPr>
                  </w:pPr>
                  <w:r w:rsidRPr="009B3B43">
                    <w:rPr>
                      <w:rFonts w:ascii="Times New Roman" w:eastAsia="Times New Roman" w:hAnsi="Times New Roman"/>
                      <w:b/>
                      <w:iCs/>
                      <w:color w:val="000000"/>
                      <w:sz w:val="20"/>
                      <w:szCs w:val="20"/>
                      <w:u w:val="single"/>
                      <w:lang w:val="en-US" w:eastAsia="ru-RU"/>
                    </w:rPr>
                    <w:t>CFO + I - CFI</w:t>
                  </w:r>
                </w:p>
              </w:tc>
            </w:tr>
            <w:tr w:rsidR="00B1482E" w:rsidRPr="009B3B43">
              <w:trPr>
                <w:trHeight w:val="268"/>
                <w:jc w:val="center"/>
              </w:trPr>
              <w:tc>
                <w:tcPr>
                  <w:tcW w:w="0" w:type="auto"/>
                  <w:vMerge/>
                  <w:vAlign w:val="center"/>
                  <w:hideMark/>
                </w:tcPr>
                <w:p w:rsidR="00B1482E" w:rsidRPr="009B3B43" w:rsidRDefault="00B1482E">
                  <w:pPr>
                    <w:spacing w:after="0" w:line="240" w:lineRule="auto"/>
                    <w:rPr>
                      <w:rFonts w:ascii="Times New Roman" w:eastAsia="Times New Roman" w:hAnsi="Times New Roman"/>
                      <w:b/>
                      <w:color w:val="000000"/>
                      <w:sz w:val="20"/>
                      <w:szCs w:val="20"/>
                      <w:lang w:val="en-US" w:eastAsia="ru-RU"/>
                    </w:rPr>
                  </w:pPr>
                </w:p>
              </w:tc>
              <w:tc>
                <w:tcPr>
                  <w:tcW w:w="3165" w:type="dxa"/>
                  <w:vAlign w:val="center"/>
                  <w:hideMark/>
                </w:tcPr>
                <w:p w:rsidR="00B1482E" w:rsidRPr="009B3B43" w:rsidRDefault="00B1482E">
                  <w:pPr>
                    <w:spacing w:after="0" w:line="300" w:lineRule="auto"/>
                    <w:contextualSpacing/>
                    <w:rPr>
                      <w:rFonts w:ascii="Times New Roman" w:eastAsia="Times New Roman" w:hAnsi="Times New Roman"/>
                      <w:b/>
                      <w:color w:val="000000"/>
                      <w:sz w:val="20"/>
                      <w:szCs w:val="20"/>
                      <w:lang w:val="en-US" w:eastAsia="ru-RU"/>
                    </w:rPr>
                  </w:pPr>
                  <w:r w:rsidRPr="009B3B43">
                    <w:rPr>
                      <w:rFonts w:ascii="Times New Roman" w:eastAsia="Times New Roman" w:hAnsi="Times New Roman"/>
                      <w:b/>
                      <w:color w:val="000000"/>
                      <w:sz w:val="20"/>
                      <w:szCs w:val="20"/>
                      <w:lang w:val="en-US" w:eastAsia="ru-RU"/>
                    </w:rPr>
                    <w:t xml:space="preserve">       P + I</w:t>
                  </w:r>
                </w:p>
              </w:tc>
            </w:tr>
          </w:tbl>
          <w:p w:rsidR="00B1482E" w:rsidRPr="009B3B43" w:rsidRDefault="00B1482E">
            <w:pPr>
              <w:pStyle w:val="a9"/>
              <w:shd w:val="clear" w:color="auto" w:fill="FFFFFF"/>
              <w:spacing w:before="0" w:beforeAutospacing="0" w:after="0" w:afterAutospacing="0" w:line="300" w:lineRule="auto"/>
              <w:contextualSpacing/>
              <w:jc w:val="both"/>
              <w:rPr>
                <w:color w:val="000000"/>
                <w:sz w:val="20"/>
                <w:szCs w:val="20"/>
                <w:lang w:val="en-US" w:eastAsia="en-US"/>
              </w:rPr>
            </w:pPr>
            <w:r w:rsidRPr="009B3B43">
              <w:rPr>
                <w:color w:val="000000"/>
                <w:sz w:val="20"/>
                <w:szCs w:val="20"/>
                <w:lang w:eastAsia="en-US"/>
              </w:rPr>
              <w:t>где</w:t>
            </w:r>
            <w:r w:rsidRPr="009B3B43">
              <w:rPr>
                <w:color w:val="000000"/>
                <w:sz w:val="20"/>
                <w:szCs w:val="20"/>
                <w:lang w:val="en-US" w:eastAsia="en-US"/>
              </w:rPr>
              <w:t>:</w:t>
            </w:r>
          </w:p>
          <w:p w:rsidR="00B1482E" w:rsidRPr="009B3B43" w:rsidRDefault="00B1482E">
            <w:pPr>
              <w:pStyle w:val="a9"/>
              <w:shd w:val="clear" w:color="auto" w:fill="FFFFFF"/>
              <w:spacing w:before="0" w:beforeAutospacing="0" w:after="0" w:afterAutospacing="0" w:line="300" w:lineRule="auto"/>
              <w:contextualSpacing/>
              <w:jc w:val="both"/>
              <w:rPr>
                <w:color w:val="000000"/>
                <w:sz w:val="20"/>
                <w:szCs w:val="20"/>
                <w:lang w:val="en-US"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267"/>
            </w:tblGrid>
            <w:tr w:rsidR="00B1482E" w:rsidRPr="009B3B43">
              <w:tc>
                <w:tcPr>
                  <w:tcW w:w="735" w:type="dxa"/>
                  <w:hideMark/>
                </w:tcPr>
                <w:p w:rsidR="00B1482E" w:rsidRPr="009B3B43" w:rsidRDefault="00B1482E">
                  <w:pPr>
                    <w:pStyle w:val="a9"/>
                    <w:spacing w:before="0" w:beforeAutospacing="0" w:after="0" w:afterAutospacing="0" w:line="300" w:lineRule="auto"/>
                    <w:contextualSpacing/>
                    <w:rPr>
                      <w:b/>
                      <w:bCs/>
                      <w:color w:val="000000"/>
                      <w:sz w:val="20"/>
                      <w:szCs w:val="20"/>
                      <w:lang w:eastAsia="en-US"/>
                    </w:rPr>
                  </w:pPr>
                  <w:r w:rsidRPr="009B3B43">
                    <w:rPr>
                      <w:b/>
                      <w:bCs/>
                      <w:color w:val="000000"/>
                      <w:sz w:val="20"/>
                      <w:szCs w:val="20"/>
                      <w:lang w:eastAsia="en-US"/>
                    </w:rPr>
                    <w:t>CFO</w:t>
                  </w:r>
                </w:p>
              </w:tc>
              <w:tc>
                <w:tcPr>
                  <w:tcW w:w="4686" w:type="dxa"/>
                  <w:hideMark/>
                </w:tcPr>
                <w:p w:rsidR="00B1482E" w:rsidRPr="009B3B43" w:rsidRDefault="00B1482E" w:rsidP="00B1482E">
                  <w:pPr>
                    <w:pStyle w:val="a9"/>
                    <w:numPr>
                      <w:ilvl w:val="0"/>
                      <w:numId w:val="4"/>
                    </w:numPr>
                    <w:spacing w:before="0" w:beforeAutospacing="0" w:after="0" w:afterAutospacing="0" w:line="300" w:lineRule="auto"/>
                    <w:contextualSpacing/>
                    <w:jc w:val="both"/>
                    <w:rPr>
                      <w:b/>
                      <w:bCs/>
                      <w:color w:val="000000"/>
                      <w:sz w:val="20"/>
                      <w:szCs w:val="20"/>
                      <w:lang w:eastAsia="en-US"/>
                    </w:rPr>
                  </w:pPr>
                  <w:r w:rsidRPr="009B3B43">
                    <w:rPr>
                      <w:color w:val="000000"/>
                      <w:sz w:val="20"/>
                      <w:szCs w:val="20"/>
                      <w:lang w:eastAsia="en-US"/>
                    </w:rPr>
                    <w:t>операционный денежный поток за Период</w:t>
                  </w:r>
                </w:p>
              </w:tc>
            </w:tr>
            <w:tr w:rsidR="00B1482E" w:rsidRPr="009B3B43">
              <w:tc>
                <w:tcPr>
                  <w:tcW w:w="735" w:type="dxa"/>
                  <w:hideMark/>
                </w:tcPr>
                <w:p w:rsidR="00B1482E" w:rsidRPr="009B3B43" w:rsidRDefault="00B1482E">
                  <w:pPr>
                    <w:pStyle w:val="a9"/>
                    <w:spacing w:before="0" w:beforeAutospacing="0" w:after="0" w:afterAutospacing="0" w:line="300" w:lineRule="auto"/>
                    <w:contextualSpacing/>
                    <w:rPr>
                      <w:b/>
                      <w:bCs/>
                      <w:color w:val="000000"/>
                      <w:sz w:val="20"/>
                      <w:szCs w:val="20"/>
                      <w:lang w:eastAsia="en-US"/>
                    </w:rPr>
                  </w:pPr>
                  <w:r w:rsidRPr="009B3B43">
                    <w:rPr>
                      <w:b/>
                      <w:bCs/>
                      <w:color w:val="000000"/>
                      <w:sz w:val="20"/>
                      <w:szCs w:val="20"/>
                      <w:lang w:val="en-US" w:eastAsia="en-US"/>
                    </w:rPr>
                    <w:t>I</w:t>
                  </w:r>
                </w:p>
              </w:tc>
              <w:tc>
                <w:tcPr>
                  <w:tcW w:w="4686" w:type="dxa"/>
                  <w:hideMark/>
                </w:tcPr>
                <w:p w:rsidR="00B1482E" w:rsidRPr="009B3B43" w:rsidRDefault="00B1482E" w:rsidP="00B1482E">
                  <w:pPr>
                    <w:pStyle w:val="a9"/>
                    <w:numPr>
                      <w:ilvl w:val="0"/>
                      <w:numId w:val="4"/>
                    </w:numPr>
                    <w:spacing w:before="0" w:beforeAutospacing="0" w:after="0" w:afterAutospacing="0" w:line="300" w:lineRule="auto"/>
                    <w:contextualSpacing/>
                    <w:jc w:val="both"/>
                    <w:rPr>
                      <w:b/>
                      <w:bCs/>
                      <w:color w:val="000000"/>
                      <w:sz w:val="20"/>
                      <w:szCs w:val="20"/>
                      <w:lang w:eastAsia="en-US"/>
                    </w:rPr>
                  </w:pPr>
                  <w:r w:rsidRPr="009B3B43">
                    <w:rPr>
                      <w:color w:val="000000"/>
                      <w:sz w:val="20"/>
                      <w:szCs w:val="20"/>
                      <w:lang w:eastAsia="en-US"/>
                    </w:rPr>
                    <w:t>проценты по кредитам, займам и иным обязательствам, подлежащие уплате в течение Периода</w:t>
                  </w:r>
                </w:p>
              </w:tc>
            </w:tr>
            <w:tr w:rsidR="00B1482E" w:rsidRPr="009B3B43">
              <w:tc>
                <w:tcPr>
                  <w:tcW w:w="735" w:type="dxa"/>
                  <w:hideMark/>
                </w:tcPr>
                <w:p w:rsidR="00B1482E" w:rsidRPr="009B3B43" w:rsidRDefault="00B1482E">
                  <w:pPr>
                    <w:pStyle w:val="a9"/>
                    <w:spacing w:before="0" w:beforeAutospacing="0" w:after="0" w:afterAutospacing="0" w:line="300" w:lineRule="auto"/>
                    <w:contextualSpacing/>
                    <w:rPr>
                      <w:b/>
                      <w:bCs/>
                      <w:color w:val="000000"/>
                      <w:sz w:val="20"/>
                      <w:szCs w:val="20"/>
                      <w:lang w:eastAsia="en-US"/>
                    </w:rPr>
                  </w:pPr>
                  <w:r w:rsidRPr="009B3B43">
                    <w:rPr>
                      <w:b/>
                      <w:bCs/>
                      <w:color w:val="000000"/>
                      <w:sz w:val="20"/>
                      <w:szCs w:val="20"/>
                      <w:lang w:eastAsia="en-US"/>
                    </w:rPr>
                    <w:t>CFI</w:t>
                  </w:r>
                </w:p>
              </w:tc>
              <w:tc>
                <w:tcPr>
                  <w:tcW w:w="4686" w:type="dxa"/>
                  <w:hideMark/>
                </w:tcPr>
                <w:p w:rsidR="00B1482E" w:rsidRPr="009B3B43" w:rsidRDefault="00B1482E" w:rsidP="00B1482E">
                  <w:pPr>
                    <w:pStyle w:val="a9"/>
                    <w:numPr>
                      <w:ilvl w:val="0"/>
                      <w:numId w:val="4"/>
                    </w:numPr>
                    <w:spacing w:before="0" w:beforeAutospacing="0" w:after="0" w:afterAutospacing="0" w:line="300" w:lineRule="auto"/>
                    <w:contextualSpacing/>
                    <w:jc w:val="both"/>
                    <w:rPr>
                      <w:b/>
                      <w:bCs/>
                      <w:color w:val="000000"/>
                      <w:sz w:val="20"/>
                      <w:szCs w:val="20"/>
                      <w:lang w:eastAsia="en-US"/>
                    </w:rPr>
                  </w:pPr>
                  <w:r w:rsidRPr="009B3B43">
                    <w:rPr>
                      <w:color w:val="000000"/>
                      <w:sz w:val="20"/>
                      <w:szCs w:val="20"/>
                      <w:lang w:eastAsia="en-US"/>
                    </w:rPr>
                    <w:t>инвестиционный денежный поток за Период</w:t>
                  </w:r>
                </w:p>
              </w:tc>
            </w:tr>
            <w:tr w:rsidR="00B1482E" w:rsidRPr="009B3B43">
              <w:tc>
                <w:tcPr>
                  <w:tcW w:w="735" w:type="dxa"/>
                  <w:hideMark/>
                </w:tcPr>
                <w:p w:rsidR="00B1482E" w:rsidRPr="009B3B43" w:rsidRDefault="00B1482E">
                  <w:pPr>
                    <w:pStyle w:val="a9"/>
                    <w:spacing w:before="0" w:beforeAutospacing="0" w:after="0" w:afterAutospacing="0" w:line="300" w:lineRule="auto"/>
                    <w:contextualSpacing/>
                    <w:rPr>
                      <w:b/>
                      <w:bCs/>
                      <w:color w:val="000000"/>
                      <w:sz w:val="20"/>
                      <w:szCs w:val="20"/>
                      <w:lang w:eastAsia="en-US"/>
                    </w:rPr>
                  </w:pPr>
                  <w:r w:rsidRPr="009B3B43">
                    <w:rPr>
                      <w:b/>
                      <w:bCs/>
                      <w:color w:val="000000"/>
                      <w:sz w:val="20"/>
                      <w:szCs w:val="20"/>
                      <w:lang w:eastAsia="en-US"/>
                    </w:rPr>
                    <w:t>P</w:t>
                  </w:r>
                </w:p>
              </w:tc>
              <w:tc>
                <w:tcPr>
                  <w:tcW w:w="4686" w:type="dxa"/>
                  <w:hideMark/>
                </w:tcPr>
                <w:p w:rsidR="00B1482E" w:rsidRPr="009B3B43" w:rsidRDefault="00B1482E" w:rsidP="00B1482E">
                  <w:pPr>
                    <w:pStyle w:val="a9"/>
                    <w:numPr>
                      <w:ilvl w:val="0"/>
                      <w:numId w:val="4"/>
                    </w:numPr>
                    <w:spacing w:before="0" w:beforeAutospacing="0" w:after="0" w:afterAutospacing="0" w:line="300" w:lineRule="auto"/>
                    <w:contextualSpacing/>
                    <w:jc w:val="both"/>
                    <w:rPr>
                      <w:b/>
                      <w:bCs/>
                      <w:color w:val="000000"/>
                      <w:sz w:val="20"/>
                      <w:szCs w:val="20"/>
                      <w:lang w:eastAsia="en-US"/>
                    </w:rPr>
                  </w:pPr>
                  <w:r w:rsidRPr="009B3B43">
                    <w:rPr>
                      <w:color w:val="000000"/>
                      <w:sz w:val="20"/>
                      <w:szCs w:val="20"/>
                      <w:lang w:eastAsia="en-US"/>
                    </w:rPr>
                    <w:t>выплата основного долга в Периоде.</w:t>
                  </w:r>
                </w:p>
              </w:tc>
            </w:tr>
          </w:tbl>
          <w:p w:rsidR="00B1482E" w:rsidRPr="009B3B43" w:rsidRDefault="00B1482E">
            <w:pPr>
              <w:pStyle w:val="a9"/>
              <w:shd w:val="clear" w:color="auto" w:fill="FFFFFF"/>
              <w:spacing w:before="0" w:beforeAutospacing="0" w:after="0" w:afterAutospacing="0" w:line="300" w:lineRule="auto"/>
              <w:contextualSpacing/>
              <w:jc w:val="both"/>
              <w:rPr>
                <w:color w:val="000000"/>
                <w:sz w:val="20"/>
                <w:szCs w:val="20"/>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не менее 1,2 (ежегодно)</w:t>
            </w:r>
          </w:p>
        </w:tc>
        <w:tc>
          <w:tcPr>
            <w:tcW w:w="1535" w:type="dxa"/>
            <w:tcBorders>
              <w:top w:val="single" w:sz="4" w:space="0" w:color="auto"/>
              <w:left w:val="single" w:sz="4" w:space="0" w:color="auto"/>
              <w:bottom w:val="single" w:sz="4" w:space="0" w:color="auto"/>
              <w:right w:val="single" w:sz="4" w:space="0" w:color="auto"/>
            </w:tcBorders>
            <w:noWrap/>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2.2</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r w:rsidRPr="009B3B43">
              <w:rPr>
                <w:rFonts w:ascii="Times New Roman" w:eastAsia="Times New Roman" w:hAnsi="Times New Roman"/>
                <w:color w:val="000000"/>
                <w:sz w:val="20"/>
                <w:szCs w:val="20"/>
                <w:lang w:eastAsia="ru-RU"/>
              </w:rPr>
              <w:t>Денежное обеспечение процентных платежей.</w:t>
            </w:r>
          </w:p>
        </w:tc>
        <w:tc>
          <w:tcPr>
            <w:tcW w:w="4167" w:type="dxa"/>
            <w:tcBorders>
              <w:top w:val="single" w:sz="4" w:space="0" w:color="auto"/>
              <w:left w:val="single" w:sz="4" w:space="0" w:color="auto"/>
              <w:bottom w:val="single" w:sz="4" w:space="0" w:color="auto"/>
              <w:right w:val="single" w:sz="4" w:space="0" w:color="auto"/>
            </w:tcBorders>
            <w:hideMark/>
          </w:tcPr>
          <w:p w:rsidR="00B1482E" w:rsidRPr="009B3B43" w:rsidRDefault="00B1482E">
            <w:pPr>
              <w:pStyle w:val="a6"/>
              <w:spacing w:line="300" w:lineRule="auto"/>
              <w:jc w:val="both"/>
              <w:rPr>
                <w:color w:val="000000"/>
                <w:lang w:eastAsia="ru-RU"/>
              </w:rPr>
            </w:pPr>
            <w:r w:rsidRPr="009B3B43">
              <w:t xml:space="preserve">В случае, если условиями кредитования не предусмотрено поручительство платежеспособных юридических лиц, финансовые показатели которых, рассчитанные по данным бухгалтерской отчетности соответствуют требованиями п.1.1, 1.2, 1.3 </w:t>
            </w:r>
            <w:r w:rsidRPr="009B3B43">
              <w:rPr>
                <w:color w:val="000000"/>
                <w:lang w:eastAsia="ru-RU"/>
              </w:rPr>
              <w:t xml:space="preserve">до выдачи </w:t>
            </w:r>
            <w:r w:rsidR="00021B75" w:rsidRPr="009B3B43">
              <w:rPr>
                <w:color w:val="000000"/>
                <w:lang w:eastAsia="ru-RU"/>
              </w:rPr>
              <w:t>Н</w:t>
            </w:r>
            <w:r w:rsidRPr="009B3B43">
              <w:rPr>
                <w:color w:val="000000"/>
                <w:lang w:eastAsia="ru-RU"/>
              </w:rPr>
              <w:t>езависимой гарантии оформляется денежное обеспечение в размере суммы процентных платежей, подлежащих уплате в течение инвестиционной фазы в виде залогового депозита и (или) залога векселей банка (далее – Денежное обеспечение процентных платежей).</w:t>
            </w:r>
          </w:p>
          <w:p w:rsidR="00B1482E" w:rsidRPr="009B3B43" w:rsidRDefault="00B1482E">
            <w:pPr>
              <w:pStyle w:val="a6"/>
              <w:spacing w:line="300" w:lineRule="auto"/>
              <w:jc w:val="both"/>
              <w:rPr>
                <w:rFonts w:eastAsiaTheme="minorHAnsi"/>
              </w:rPr>
            </w:pPr>
            <w:r w:rsidRPr="009B3B43">
              <w:lastRenderedPageBreak/>
              <w:t xml:space="preserve">В противном случае </w:t>
            </w:r>
            <w:r w:rsidRPr="009B3B43">
              <w:rPr>
                <w:color w:val="000000"/>
                <w:lang w:eastAsia="ru-RU"/>
              </w:rPr>
              <w:t xml:space="preserve">Денежное обеспечение должно быть оформлено в размере суммы процентов к уплате за 3 (три) календарных месяца, рассчитанной исходя </w:t>
            </w:r>
            <w:r w:rsidRPr="009B3B43">
              <w:t>из полной выборки кредита</w:t>
            </w:r>
            <w:r w:rsidR="00683BBE" w:rsidRPr="009B3B43">
              <w:t xml:space="preserve"> (до выдачи кредита / Независимой гарантии)</w:t>
            </w:r>
            <w:r w:rsidRPr="009B3B43">
              <w:t>.</w:t>
            </w:r>
          </w:p>
          <w:p w:rsidR="00B1482E" w:rsidRPr="009B3B43" w:rsidRDefault="00B1482E">
            <w:pPr>
              <w:pStyle w:val="a6"/>
              <w:spacing w:line="300" w:lineRule="auto"/>
              <w:jc w:val="both"/>
            </w:pPr>
            <w:r w:rsidRPr="009B3B43">
              <w:t xml:space="preserve">Инвестиционная фаза проекта – этап реализации финансируемого инвестиционного проекта, в течение которого осуществляются подготовка к инвестированию (в том числе утверждение бюджета проекта, разработка и утверждение проектно-сметной документации, </w:t>
            </w:r>
            <w:proofErr w:type="spellStart"/>
            <w:r w:rsidRPr="009B3B43">
              <w:t>найм</w:t>
            </w:r>
            <w:proofErr w:type="spellEnd"/>
            <w:r w:rsidRPr="009B3B43">
              <w:t xml:space="preserve"> и обучение персонала) и капитальные вложения в объекты основных средств (в том числе строительство производственных зданий и сооружений, приобретение оборудования/машин, монтаж и пусконаладочные работы технологического оборудования, реконструкция и (или) ремонт основных средств (включая основные средства, оформленные в долгосрочную (более 1 года) аренду/субаренду)).</w:t>
            </w: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100%</w:t>
            </w:r>
          </w:p>
        </w:tc>
        <w:tc>
          <w:tcPr>
            <w:tcW w:w="1535"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2.3</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Доля собственного участия в финансируемом проекте</w:t>
            </w:r>
          </w:p>
        </w:tc>
        <w:tc>
          <w:tcPr>
            <w:tcW w:w="4167"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heme="minorHAnsi" w:hAnsi="Times New Roman"/>
                <w:sz w:val="20"/>
                <w:szCs w:val="20"/>
                <w:lang w:eastAsia="en-US"/>
              </w:rPr>
            </w:pPr>
            <w:r w:rsidRPr="009B3B43">
              <w:rPr>
                <w:rFonts w:ascii="Times New Roman" w:hAnsi="Times New Roman"/>
                <w:bCs/>
                <w:sz w:val="20"/>
                <w:szCs w:val="20"/>
              </w:rPr>
              <w:t>Собственное участие в инвестиционном проекте</w:t>
            </w:r>
            <w:r w:rsidRPr="009B3B43">
              <w:rPr>
                <w:rFonts w:ascii="Times New Roman" w:hAnsi="Times New Roman"/>
                <w:sz w:val="20"/>
                <w:szCs w:val="20"/>
              </w:rPr>
              <w:t> обеспечивается в виде </w:t>
            </w:r>
            <w:r w:rsidRPr="009B3B43">
              <w:rPr>
                <w:rFonts w:ascii="Times New Roman" w:hAnsi="Times New Roman"/>
                <w:bCs/>
                <w:sz w:val="20"/>
                <w:szCs w:val="20"/>
              </w:rPr>
              <w:t>денежных</w:t>
            </w:r>
            <w:r w:rsidRPr="009B3B43">
              <w:rPr>
                <w:rFonts w:ascii="Times New Roman" w:hAnsi="Times New Roman"/>
                <w:sz w:val="20"/>
                <w:szCs w:val="20"/>
              </w:rPr>
              <w:t xml:space="preserve"> средств (в том числе в виде Субординированных обязательств), внесённых в проект в размере ранее оплаченных капитальных расходов, непосредственно относящихся к целям финансируемого проекта, так и в виде залогового депозита и (или) залога векселей банка в целях финансирования части капитальных затрат по финансируемому </w:t>
            </w:r>
            <w:r w:rsidRPr="009B3B43">
              <w:rPr>
                <w:rFonts w:ascii="Times New Roman" w:hAnsi="Times New Roman"/>
                <w:sz w:val="20"/>
                <w:szCs w:val="20"/>
              </w:rPr>
              <w:lastRenderedPageBreak/>
              <w:t>инвестиционному проекту</w:t>
            </w:r>
            <w:r w:rsidR="00683BBE" w:rsidRPr="009B3B43">
              <w:rPr>
                <w:rFonts w:ascii="Times New Roman" w:hAnsi="Times New Roman"/>
                <w:sz w:val="20"/>
                <w:szCs w:val="20"/>
              </w:rPr>
              <w:t xml:space="preserve"> (до выдачи кредита / Независимой гарантии)</w:t>
            </w:r>
            <w:r w:rsidRPr="009B3B43">
              <w:rPr>
                <w:rFonts w:ascii="Times New Roman" w:hAnsi="Times New Roman"/>
                <w:sz w:val="20"/>
                <w:szCs w:val="20"/>
              </w:rPr>
              <w:t>.</w:t>
            </w: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lastRenderedPageBreak/>
              <w:t>не менее 20% от бюджета финансируемого проекта</w:t>
            </w:r>
          </w:p>
        </w:tc>
        <w:tc>
          <w:tcPr>
            <w:tcW w:w="1535"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rPr>
                <w:rFonts w:ascii="Times New Roman" w:eastAsia="Times New Roman" w:hAnsi="Times New Roman"/>
                <w:color w:val="000000"/>
                <w:sz w:val="20"/>
                <w:szCs w:val="20"/>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p>
        </w:tc>
      </w:tr>
      <w:tr w:rsidR="00B1482E" w:rsidRPr="009B3B43" w:rsidTr="008D345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1482E" w:rsidRPr="009B3B43" w:rsidRDefault="00B1482E">
            <w:pPr>
              <w:spacing w:after="0"/>
              <w:rPr>
                <w:rFonts w:ascii="Times New Roman" w:eastAsia="Times New Roman" w:hAnsi="Times New Roman"/>
                <w:color w:val="000000"/>
                <w:sz w:val="20"/>
                <w:szCs w:val="20"/>
                <w:lang w:eastAsia="ru-RU"/>
              </w:rPr>
            </w:pPr>
          </w:p>
        </w:tc>
        <w:tc>
          <w:tcPr>
            <w:tcW w:w="544" w:type="dxa"/>
            <w:tcBorders>
              <w:top w:val="single" w:sz="4" w:space="0" w:color="auto"/>
              <w:left w:val="single" w:sz="4" w:space="0" w:color="auto"/>
              <w:bottom w:val="single" w:sz="4" w:space="0" w:color="auto"/>
              <w:right w:val="single" w:sz="4" w:space="0" w:color="auto"/>
            </w:tcBorders>
            <w:noWrap/>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2.4</w:t>
            </w:r>
          </w:p>
        </w:tc>
        <w:tc>
          <w:tcPr>
            <w:tcW w:w="2421" w:type="dxa"/>
            <w:tcBorders>
              <w:top w:val="single" w:sz="4" w:space="0" w:color="auto"/>
              <w:left w:val="single" w:sz="4" w:space="0" w:color="auto"/>
              <w:bottom w:val="single" w:sz="4" w:space="0" w:color="auto"/>
              <w:right w:val="single" w:sz="4" w:space="0" w:color="auto"/>
            </w:tcBorders>
            <w:noWrap/>
            <w:hideMark/>
          </w:tcPr>
          <w:p w:rsidR="00B1482E" w:rsidRPr="009B3B43" w:rsidRDefault="00021B75">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Срок Н</w:t>
            </w:r>
            <w:r w:rsidR="00B1482E" w:rsidRPr="009B3B43">
              <w:rPr>
                <w:rFonts w:ascii="Times New Roman" w:eastAsia="Times New Roman" w:hAnsi="Times New Roman"/>
                <w:color w:val="000000"/>
                <w:sz w:val="20"/>
                <w:szCs w:val="20"/>
                <w:lang w:eastAsia="ru-RU"/>
              </w:rPr>
              <w:t>езависимой гарантии</w:t>
            </w:r>
          </w:p>
        </w:tc>
        <w:tc>
          <w:tcPr>
            <w:tcW w:w="4167"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00000"/>
                <w:sz w:val="20"/>
                <w:szCs w:val="20"/>
                <w:lang w:eastAsia="ru-RU"/>
              </w:rPr>
            </w:pPr>
            <w:r w:rsidRPr="009B3B43">
              <w:rPr>
                <w:rFonts w:ascii="Times New Roman" w:eastAsia="Times New Roman" w:hAnsi="Times New Roman"/>
                <w:color w:val="000000"/>
                <w:sz w:val="20"/>
                <w:szCs w:val="20"/>
                <w:lang w:eastAsia="ru-RU"/>
              </w:rPr>
              <w:t>-</w:t>
            </w:r>
          </w:p>
        </w:tc>
        <w:tc>
          <w:tcPr>
            <w:tcW w:w="1961" w:type="dxa"/>
            <w:tcBorders>
              <w:top w:val="single" w:sz="4" w:space="0" w:color="auto"/>
              <w:left w:val="single" w:sz="4" w:space="0" w:color="auto"/>
              <w:bottom w:val="single" w:sz="4" w:space="0" w:color="auto"/>
              <w:right w:val="single" w:sz="4" w:space="0" w:color="auto"/>
            </w:tcBorders>
            <w:hideMark/>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r w:rsidRPr="009B3B43">
              <w:rPr>
                <w:rFonts w:ascii="Times New Roman" w:eastAsia="Times New Roman" w:hAnsi="Times New Roman"/>
                <w:color w:val="000000"/>
                <w:sz w:val="20"/>
                <w:szCs w:val="20"/>
                <w:lang w:eastAsia="ru-RU"/>
              </w:rPr>
              <w:t>Инвестиционная фаза + 12 мес.</w:t>
            </w:r>
          </w:p>
        </w:tc>
        <w:tc>
          <w:tcPr>
            <w:tcW w:w="1535" w:type="dxa"/>
            <w:tcBorders>
              <w:top w:val="single" w:sz="4" w:space="0" w:color="auto"/>
              <w:left w:val="single" w:sz="4" w:space="0" w:color="auto"/>
              <w:bottom w:val="single" w:sz="4" w:space="0" w:color="auto"/>
              <w:right w:val="single" w:sz="4" w:space="0" w:color="auto"/>
            </w:tcBorders>
            <w:noWrap/>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p>
        </w:tc>
        <w:tc>
          <w:tcPr>
            <w:tcW w:w="1996" w:type="dxa"/>
            <w:tcBorders>
              <w:top w:val="single" w:sz="4" w:space="0" w:color="auto"/>
              <w:left w:val="single" w:sz="4" w:space="0" w:color="auto"/>
              <w:bottom w:val="single" w:sz="4" w:space="0" w:color="auto"/>
              <w:right w:val="single" w:sz="4" w:space="0" w:color="auto"/>
            </w:tcBorders>
          </w:tcPr>
          <w:p w:rsidR="00B1482E" w:rsidRPr="009B3B43" w:rsidRDefault="00B1482E">
            <w:pPr>
              <w:spacing w:after="0" w:line="300" w:lineRule="auto"/>
              <w:contextualSpacing/>
              <w:jc w:val="both"/>
              <w:rPr>
                <w:rFonts w:ascii="Times New Roman" w:eastAsia="Times New Roman" w:hAnsi="Times New Roman"/>
                <w:color w:val="0563C1"/>
                <w:sz w:val="20"/>
                <w:szCs w:val="20"/>
                <w:u w:val="single"/>
                <w:lang w:eastAsia="ru-RU"/>
              </w:rPr>
            </w:pPr>
          </w:p>
        </w:tc>
      </w:tr>
    </w:tbl>
    <w:p w:rsidR="001B7660" w:rsidRDefault="001B7660" w:rsidP="001608F4">
      <w:pPr>
        <w:jc w:val="right"/>
      </w:pPr>
    </w:p>
    <w:sectPr w:rsidR="001B7660" w:rsidSect="00E253E4">
      <w:pgSz w:w="16838" w:h="11906" w:orient="landscape"/>
      <w:pgMar w:top="737" w:right="567" w:bottom="79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13" w:rsidRDefault="00B26E13" w:rsidP="009B7EB7">
      <w:pPr>
        <w:spacing w:after="0" w:line="240" w:lineRule="auto"/>
      </w:pPr>
      <w:r>
        <w:separator/>
      </w:r>
    </w:p>
  </w:endnote>
  <w:endnote w:type="continuationSeparator" w:id="0">
    <w:p w:rsidR="00B26E13" w:rsidRDefault="00B26E13" w:rsidP="009B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13" w:rsidRDefault="00B26E13" w:rsidP="009B7EB7">
      <w:pPr>
        <w:spacing w:after="0" w:line="240" w:lineRule="auto"/>
      </w:pPr>
      <w:r>
        <w:separator/>
      </w:r>
    </w:p>
  </w:footnote>
  <w:footnote w:type="continuationSeparator" w:id="0">
    <w:p w:rsidR="00B26E13" w:rsidRDefault="00B26E13" w:rsidP="009B7EB7">
      <w:pPr>
        <w:spacing w:after="0" w:line="240" w:lineRule="auto"/>
      </w:pPr>
      <w:r>
        <w:continuationSeparator/>
      </w:r>
    </w:p>
  </w:footnote>
  <w:footnote w:id="1">
    <w:p w:rsidR="00B1482E" w:rsidRPr="009B3B43" w:rsidRDefault="00B1482E" w:rsidP="00B1482E">
      <w:pPr>
        <w:pStyle w:val="a6"/>
        <w:jc w:val="both"/>
        <w:rPr>
          <w:sz w:val="18"/>
          <w:szCs w:val="18"/>
        </w:rPr>
      </w:pPr>
      <w:r>
        <w:rPr>
          <w:rStyle w:val="a8"/>
          <w:rFonts w:ascii="Verdana" w:hAnsi="Verdana"/>
          <w:sz w:val="18"/>
          <w:szCs w:val="18"/>
        </w:rPr>
        <w:footnoteRef/>
      </w:r>
      <w:r>
        <w:rPr>
          <w:rFonts w:ascii="Verdana" w:hAnsi="Verdana"/>
          <w:sz w:val="18"/>
          <w:szCs w:val="18"/>
        </w:rPr>
        <w:t xml:space="preserve"> </w:t>
      </w:r>
      <w:r w:rsidRPr="009B3B43">
        <w:rPr>
          <w:sz w:val="18"/>
          <w:szCs w:val="18"/>
        </w:rPr>
        <w:t xml:space="preserve">Значение финансовых показателей рассчитывается на последнюю актуальную квартальную дату бухгалтерской отчётности </w:t>
      </w:r>
      <w:r w:rsidR="00E45278" w:rsidRPr="009B3B43">
        <w:rPr>
          <w:sz w:val="18"/>
          <w:szCs w:val="18"/>
        </w:rPr>
        <w:t>Заемщика</w:t>
      </w:r>
      <w:r w:rsidRPr="009B3B43">
        <w:rPr>
          <w:sz w:val="18"/>
          <w:szCs w:val="18"/>
        </w:rPr>
        <w:t xml:space="preserve"> и (или) юридических лиц, включенных Финансовой организацией-партнером в периметр консолидации (далее - Участники группы </w:t>
      </w:r>
      <w:r w:rsidR="00E45278" w:rsidRPr="009B3B43">
        <w:rPr>
          <w:sz w:val="18"/>
          <w:szCs w:val="18"/>
        </w:rPr>
        <w:t>Заемщика</w:t>
      </w:r>
      <w:r w:rsidRPr="009B3B43">
        <w:rPr>
          <w:sz w:val="18"/>
          <w:szCs w:val="18"/>
        </w:rPr>
        <w:t>).</w:t>
      </w:r>
    </w:p>
  </w:footnote>
  <w:footnote w:id="2">
    <w:p w:rsidR="00B1482E" w:rsidRPr="009B3B43" w:rsidRDefault="00B1482E" w:rsidP="00B1482E">
      <w:pPr>
        <w:pStyle w:val="a6"/>
        <w:jc w:val="both"/>
        <w:rPr>
          <w:sz w:val="18"/>
          <w:szCs w:val="18"/>
        </w:rPr>
      </w:pPr>
      <w:r w:rsidRPr="009B3B43">
        <w:rPr>
          <w:rStyle w:val="a8"/>
          <w:sz w:val="18"/>
          <w:szCs w:val="18"/>
        </w:rPr>
        <w:t>2</w:t>
      </w:r>
      <w:r w:rsidRPr="009B3B43">
        <w:rPr>
          <w:sz w:val="18"/>
          <w:szCs w:val="18"/>
        </w:rPr>
        <w:t xml:space="preserve"> Допускается внесение Финансовой организацией-партнером корректировок в методику расчета показателей</w:t>
      </w:r>
      <w:r w:rsidRPr="009B3B43">
        <w:rPr>
          <w:b/>
          <w:sz w:val="18"/>
          <w:szCs w:val="18"/>
        </w:rPr>
        <w:t xml:space="preserve"> EBITDA </w:t>
      </w:r>
      <w:r w:rsidRPr="009B3B43">
        <w:rPr>
          <w:sz w:val="18"/>
          <w:szCs w:val="18"/>
        </w:rPr>
        <w:t>и</w:t>
      </w:r>
      <w:r w:rsidRPr="009B3B43">
        <w:rPr>
          <w:b/>
          <w:sz w:val="18"/>
          <w:szCs w:val="18"/>
        </w:rPr>
        <w:t xml:space="preserve"> </w:t>
      </w:r>
      <w:r w:rsidRPr="009B3B43">
        <w:rPr>
          <w:b/>
          <w:color w:val="000000"/>
          <w:sz w:val="18"/>
          <w:szCs w:val="18"/>
          <w:lang w:eastAsia="ru-RU"/>
        </w:rPr>
        <w:t>Прибыль до уплаты процентов и налогов (EBIT)</w:t>
      </w:r>
      <w:r w:rsidRPr="009B3B43">
        <w:rPr>
          <w:sz w:val="18"/>
          <w:szCs w:val="18"/>
        </w:rPr>
        <w:t xml:space="preserve">, направленных на нивелирование влияния дифференцированных требований к ведению бухгалтерского учета (в том числе при упрощенном бухгалтерском учете), особенностей применяемой системы налогообложения, а также учетной политики </w:t>
      </w:r>
      <w:r w:rsidR="00E45278" w:rsidRPr="009B3B43">
        <w:rPr>
          <w:sz w:val="18"/>
          <w:szCs w:val="18"/>
        </w:rPr>
        <w:t>Заемщика</w:t>
      </w:r>
      <w:r w:rsidRPr="009B3B43">
        <w:rPr>
          <w:sz w:val="18"/>
          <w:szCs w:val="18"/>
        </w:rPr>
        <w:t xml:space="preserve"> и (или) Участников группы </w:t>
      </w:r>
      <w:r w:rsidR="00E45278" w:rsidRPr="009B3B43">
        <w:rPr>
          <w:sz w:val="18"/>
          <w:szCs w:val="18"/>
        </w:rPr>
        <w:t>Заемщика</w:t>
      </w:r>
      <w:r w:rsidRPr="009B3B43">
        <w:rPr>
          <w:sz w:val="18"/>
          <w:szCs w:val="18"/>
        </w:rPr>
        <w:t xml:space="preserve"> на расчет показателей, при условии соблюдения Финансовой организацией-партнером принципов достоверности, объективности, осмотрительности и преобладания экономической сущности над формой с обязательным обоснованием примененных корректировок в графе 7.</w:t>
      </w:r>
    </w:p>
  </w:footnote>
  <w:footnote w:id="3">
    <w:p w:rsidR="00B1482E" w:rsidRPr="009B3B43" w:rsidRDefault="00B1482E" w:rsidP="00B1482E">
      <w:pPr>
        <w:pStyle w:val="a6"/>
        <w:jc w:val="both"/>
        <w:rPr>
          <w:sz w:val="18"/>
          <w:szCs w:val="18"/>
        </w:rPr>
      </w:pPr>
      <w:r w:rsidRPr="009B3B43">
        <w:rPr>
          <w:rStyle w:val="a8"/>
          <w:sz w:val="18"/>
          <w:szCs w:val="18"/>
        </w:rPr>
        <w:t>3</w:t>
      </w:r>
      <w:r w:rsidRPr="009B3B43">
        <w:rPr>
          <w:sz w:val="18"/>
          <w:szCs w:val="18"/>
        </w:rPr>
        <w:t xml:space="preserve"> Значение показателя включается в пакет </w:t>
      </w:r>
      <w:proofErr w:type="spellStart"/>
      <w:r w:rsidRPr="009B3B43">
        <w:rPr>
          <w:sz w:val="18"/>
          <w:szCs w:val="18"/>
        </w:rPr>
        <w:t>ковенантов</w:t>
      </w:r>
      <w:proofErr w:type="spellEnd"/>
      <w:r w:rsidRPr="009B3B43">
        <w:rPr>
          <w:sz w:val="18"/>
          <w:szCs w:val="18"/>
        </w:rPr>
        <w:t xml:space="preserve"> по кредитному соглашению в целях контроля и (или) ограничения уровня долговой нагрузки </w:t>
      </w:r>
      <w:r w:rsidR="00E45278" w:rsidRPr="009B3B43">
        <w:rPr>
          <w:sz w:val="18"/>
          <w:szCs w:val="18"/>
        </w:rPr>
        <w:t>Заемщика</w:t>
      </w:r>
      <w:r w:rsidRPr="009B3B43">
        <w:rPr>
          <w:sz w:val="18"/>
          <w:szCs w:val="18"/>
        </w:rPr>
        <w:t xml:space="preserve"> и (или) Участников группы </w:t>
      </w:r>
      <w:r w:rsidR="00E45278" w:rsidRPr="009B3B43">
        <w:rPr>
          <w:sz w:val="18"/>
          <w:szCs w:val="18"/>
        </w:rPr>
        <w:t>Заемщика</w:t>
      </w:r>
      <w:r w:rsidR="00021B75" w:rsidRPr="009B3B43">
        <w:rPr>
          <w:sz w:val="18"/>
          <w:szCs w:val="18"/>
        </w:rPr>
        <w:t xml:space="preserve"> в течение срока действия Н</w:t>
      </w:r>
      <w:r w:rsidRPr="009B3B43">
        <w:rPr>
          <w:sz w:val="18"/>
          <w:szCs w:val="18"/>
        </w:rPr>
        <w:t>езависимой гарантии.</w:t>
      </w:r>
    </w:p>
  </w:footnote>
  <w:footnote w:id="4">
    <w:p w:rsidR="00B1482E" w:rsidRPr="009B3B43" w:rsidRDefault="00B1482E" w:rsidP="00B1482E">
      <w:pPr>
        <w:pStyle w:val="a6"/>
      </w:pPr>
      <w:r w:rsidRPr="009B3B43">
        <w:rPr>
          <w:rStyle w:val="a8"/>
        </w:rPr>
        <w:t xml:space="preserve">4 </w:t>
      </w:r>
      <w:r w:rsidRPr="009B3B43">
        <w:rPr>
          <w:sz w:val="18"/>
          <w:szCs w:val="18"/>
        </w:rPr>
        <w:t xml:space="preserve">Расчет показателя осуществляется по данным консолидированной финансовой отчётности Участников группы </w:t>
      </w:r>
      <w:r w:rsidR="00E45278" w:rsidRPr="009B3B43">
        <w:rPr>
          <w:sz w:val="18"/>
          <w:szCs w:val="18"/>
        </w:rPr>
        <w:t>Заемщика</w:t>
      </w:r>
      <w:r w:rsidRPr="009B3B43">
        <w:rPr>
          <w:sz w:val="18"/>
          <w:szCs w:val="18"/>
        </w:rPr>
        <w:t xml:space="preserve">, в случае принятия Финансовой организацией-партнером решения о предоставлении кредита на основе консолидированных финансовых показателей Участников группы </w:t>
      </w:r>
      <w:r w:rsidR="00E45278" w:rsidRPr="009B3B43">
        <w:rPr>
          <w:sz w:val="18"/>
          <w:szCs w:val="18"/>
        </w:rPr>
        <w:t>Заемщика</w:t>
      </w:r>
      <w:r w:rsidRPr="009B3B43">
        <w:rPr>
          <w:sz w:val="18"/>
          <w:szCs w:val="18"/>
        </w:rPr>
        <w:t>.</w:t>
      </w:r>
    </w:p>
  </w:footnote>
  <w:footnote w:id="5">
    <w:p w:rsidR="00B1482E" w:rsidRPr="009B3B43" w:rsidRDefault="00B1482E" w:rsidP="00B1482E">
      <w:pPr>
        <w:pStyle w:val="a6"/>
        <w:jc w:val="both"/>
        <w:rPr>
          <w:sz w:val="18"/>
          <w:szCs w:val="18"/>
        </w:rPr>
      </w:pPr>
      <w:r w:rsidRPr="009B3B43">
        <w:rPr>
          <w:rStyle w:val="a8"/>
          <w:sz w:val="18"/>
          <w:szCs w:val="18"/>
        </w:rPr>
        <w:t>5</w:t>
      </w:r>
      <w:r w:rsidRPr="009B3B43">
        <w:rPr>
          <w:sz w:val="18"/>
          <w:szCs w:val="18"/>
        </w:rPr>
        <w:t xml:space="preserve"> В размере доступного к использованию лимита с учетом устанавливаемых Финансовой организацией-партнером </w:t>
      </w:r>
      <w:proofErr w:type="spellStart"/>
      <w:r w:rsidRPr="009B3B43">
        <w:rPr>
          <w:sz w:val="18"/>
          <w:szCs w:val="18"/>
        </w:rPr>
        <w:t>ковенантов</w:t>
      </w:r>
      <w:proofErr w:type="spellEnd"/>
      <w:r w:rsidRPr="009B3B43">
        <w:rPr>
          <w:sz w:val="18"/>
          <w:szCs w:val="18"/>
        </w:rPr>
        <w:t>, ограничивающих максимальный размер задолженности.</w:t>
      </w:r>
    </w:p>
  </w:footnote>
  <w:footnote w:id="6">
    <w:p w:rsidR="00B1482E" w:rsidRPr="009B3B43" w:rsidRDefault="00B1482E" w:rsidP="00B1482E">
      <w:pPr>
        <w:pStyle w:val="a6"/>
        <w:jc w:val="both"/>
        <w:rPr>
          <w:sz w:val="18"/>
          <w:szCs w:val="18"/>
        </w:rPr>
      </w:pPr>
      <w:r w:rsidRPr="009B3B43">
        <w:rPr>
          <w:rStyle w:val="a8"/>
          <w:sz w:val="18"/>
          <w:szCs w:val="18"/>
        </w:rPr>
        <w:t>6</w:t>
      </w:r>
      <w:r w:rsidRPr="009B3B43">
        <w:rPr>
          <w:sz w:val="18"/>
          <w:szCs w:val="18"/>
        </w:rPr>
        <w:t xml:space="preserve"> В размере начисленных процентов по доступным к использованию лимитов с учетом устанавливаемых Финансовой организацией-партнером </w:t>
      </w:r>
      <w:proofErr w:type="spellStart"/>
      <w:r w:rsidRPr="009B3B43">
        <w:rPr>
          <w:sz w:val="18"/>
          <w:szCs w:val="18"/>
        </w:rPr>
        <w:t>ковенантов</w:t>
      </w:r>
      <w:proofErr w:type="spellEnd"/>
      <w:r w:rsidRPr="009B3B43">
        <w:rPr>
          <w:sz w:val="18"/>
          <w:szCs w:val="18"/>
        </w:rPr>
        <w:t>, ограничивающих максимальный размер утилизации лимитов.</w:t>
      </w:r>
    </w:p>
  </w:footnote>
  <w:footnote w:id="7">
    <w:p w:rsidR="00B1482E" w:rsidRPr="009B3B43" w:rsidRDefault="00B1482E" w:rsidP="00B1482E">
      <w:pPr>
        <w:pStyle w:val="a6"/>
        <w:jc w:val="both"/>
        <w:rPr>
          <w:sz w:val="18"/>
          <w:szCs w:val="18"/>
        </w:rPr>
      </w:pPr>
      <w:bookmarkStart w:id="0" w:name="_GoBack"/>
      <w:r w:rsidRPr="009B3B43">
        <w:rPr>
          <w:rStyle w:val="a8"/>
          <w:sz w:val="18"/>
          <w:szCs w:val="18"/>
        </w:rPr>
        <w:t>7</w:t>
      </w:r>
      <w:r w:rsidRPr="009B3B43">
        <w:rPr>
          <w:sz w:val="18"/>
          <w:szCs w:val="18"/>
        </w:rPr>
        <w:t xml:space="preserve"> Инвестиционная фаза проекта – этап реализации проекта, в течение которого осуществляются подготовка к инвестированию (в том числе утверждение бюджета проекта, разработка и утверждение проектно-сметной документации, </w:t>
      </w:r>
      <w:proofErr w:type="spellStart"/>
      <w:r w:rsidRPr="009B3B43">
        <w:rPr>
          <w:sz w:val="18"/>
          <w:szCs w:val="18"/>
        </w:rPr>
        <w:t>найм</w:t>
      </w:r>
      <w:proofErr w:type="spellEnd"/>
      <w:r w:rsidRPr="009B3B43">
        <w:rPr>
          <w:sz w:val="18"/>
          <w:szCs w:val="18"/>
        </w:rPr>
        <w:t xml:space="preserve"> и обучение персонала) и капитальные вложения в объекты основных средств (в том числе строительство производственных зданий и сооружений, приобретение оборудования/машин, монтаж и пусконаладочные работы технологического оборудования, реконструкция и (или) ремонт основных средств (включая основные средства, оформленные в долгосрочную (более 1 года) аренду/субаренду)).</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4F38"/>
    <w:multiLevelType w:val="hybridMultilevel"/>
    <w:tmpl w:val="6CCC6530"/>
    <w:lvl w:ilvl="0" w:tplc="DD6E80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11"/>
    <w:rsid w:val="00021B75"/>
    <w:rsid w:val="000F35D4"/>
    <w:rsid w:val="001608F4"/>
    <w:rsid w:val="001B7660"/>
    <w:rsid w:val="00302944"/>
    <w:rsid w:val="003E5E65"/>
    <w:rsid w:val="003F496C"/>
    <w:rsid w:val="004D0E75"/>
    <w:rsid w:val="00683BBE"/>
    <w:rsid w:val="007774B7"/>
    <w:rsid w:val="00864AD6"/>
    <w:rsid w:val="00875E11"/>
    <w:rsid w:val="008820D6"/>
    <w:rsid w:val="008D345B"/>
    <w:rsid w:val="00912F6D"/>
    <w:rsid w:val="0093644D"/>
    <w:rsid w:val="0097305C"/>
    <w:rsid w:val="009B3B43"/>
    <w:rsid w:val="009B7EB7"/>
    <w:rsid w:val="00A42B32"/>
    <w:rsid w:val="00A610A2"/>
    <w:rsid w:val="00B1482E"/>
    <w:rsid w:val="00B26E13"/>
    <w:rsid w:val="00BC1AE1"/>
    <w:rsid w:val="00BE5061"/>
    <w:rsid w:val="00C40571"/>
    <w:rsid w:val="00D03332"/>
    <w:rsid w:val="00DA5D7C"/>
    <w:rsid w:val="00E253E4"/>
    <w:rsid w:val="00E45278"/>
    <w:rsid w:val="00F0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3281-1369-4865-93F5-6A78934A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F4"/>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L,Абзац маркированнный,Содержание. 2 уровень,Абзац списка для документа,Список с узором,1,Нумерованый список,List Paragraph1,Маркер,Bullet Number,Bullet List,FooterText,numbered,lp1,f_Абзац 1,ПАРАГРАФ,Цветной список - Акцент 11,мой"/>
    <w:basedOn w:val="a"/>
    <w:link w:val="a4"/>
    <w:uiPriority w:val="34"/>
    <w:qFormat/>
    <w:rsid w:val="009B7EB7"/>
    <w:pPr>
      <w:widowControl w:val="0"/>
      <w:suppressAutoHyphens w:val="0"/>
      <w:autoSpaceDE w:val="0"/>
      <w:autoSpaceDN w:val="0"/>
      <w:spacing w:after="0" w:line="240" w:lineRule="auto"/>
      <w:ind w:left="981" w:right="178" w:firstLine="708"/>
      <w:jc w:val="both"/>
    </w:pPr>
    <w:rPr>
      <w:rFonts w:ascii="Times New Roman" w:eastAsia="Times New Roman" w:hAnsi="Times New Roman"/>
      <w:lang w:eastAsia="en-US"/>
    </w:rPr>
  </w:style>
  <w:style w:type="table" w:styleId="a5">
    <w:name w:val="Table Grid"/>
    <w:basedOn w:val="a1"/>
    <w:uiPriority w:val="39"/>
    <w:rsid w:val="009B7E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UL Знак,Абзац маркированнный Знак,Содержание. 2 уровень Знак,Абзац списка для документа Знак,Список с узором Знак,1 Знак,Нумерованый список Знак,List Paragraph1 Знак,Маркер Знак,Bullet Number Знак,Bullet List Знак,FooterText Знак"/>
    <w:link w:val="a3"/>
    <w:uiPriority w:val="34"/>
    <w:locked/>
    <w:rsid w:val="009B7EB7"/>
    <w:rPr>
      <w:rFonts w:ascii="Times New Roman" w:eastAsia="Times New Roman" w:hAnsi="Times New Roman" w:cs="Times New Roman"/>
    </w:rPr>
  </w:style>
  <w:style w:type="paragraph" w:styleId="a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7"/>
    <w:unhideWhenUsed/>
    <w:qFormat/>
    <w:rsid w:val="009B7EB7"/>
    <w:pPr>
      <w:widowControl w:val="0"/>
      <w:suppressAutoHyphens w:val="0"/>
      <w:autoSpaceDE w:val="0"/>
      <w:autoSpaceDN w:val="0"/>
      <w:spacing w:after="0" w:line="240" w:lineRule="auto"/>
    </w:pPr>
    <w:rPr>
      <w:rFonts w:ascii="Times New Roman" w:eastAsia="Times New Roman" w:hAnsi="Times New Roman"/>
      <w:sz w:val="20"/>
      <w:szCs w:val="20"/>
      <w:lang w:eastAsia="en-US"/>
    </w:rPr>
  </w:style>
  <w:style w:type="character" w:customStyle="1" w:styleId="a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6"/>
    <w:rsid w:val="009B7EB7"/>
    <w:rPr>
      <w:rFonts w:ascii="Times New Roman" w:eastAsia="Times New Roman" w:hAnsi="Times New Roman" w:cs="Times New Roman"/>
      <w:sz w:val="20"/>
      <w:szCs w:val="20"/>
    </w:rPr>
  </w:style>
  <w:style w:type="character" w:styleId="a8">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
    <w:uiPriority w:val="99"/>
    <w:unhideWhenUsed/>
    <w:qFormat/>
    <w:rsid w:val="009B7EB7"/>
    <w:rPr>
      <w:vertAlign w:val="superscript"/>
    </w:rPr>
  </w:style>
  <w:style w:type="paragraph" w:customStyle="1" w:styleId="1">
    <w:name w:val="Знак сноски1"/>
    <w:link w:val="a8"/>
    <w:uiPriority w:val="99"/>
    <w:qFormat/>
    <w:rsid w:val="0097305C"/>
    <w:pPr>
      <w:spacing w:after="0" w:line="240" w:lineRule="auto"/>
    </w:pPr>
    <w:rPr>
      <w:vertAlign w:val="superscript"/>
    </w:rPr>
  </w:style>
  <w:style w:type="paragraph" w:styleId="a9">
    <w:name w:val="Normal (Web)"/>
    <w:basedOn w:val="a"/>
    <w:uiPriority w:val="99"/>
    <w:unhideWhenUsed/>
    <w:rsid w:val="0097305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A42B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42B32"/>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2637">
      <w:bodyDiv w:val="1"/>
      <w:marLeft w:val="0"/>
      <w:marRight w:val="0"/>
      <w:marTop w:val="0"/>
      <w:marBottom w:val="0"/>
      <w:divBdr>
        <w:top w:val="none" w:sz="0" w:space="0" w:color="auto"/>
        <w:left w:val="none" w:sz="0" w:space="0" w:color="auto"/>
        <w:bottom w:val="none" w:sz="0" w:space="0" w:color="auto"/>
        <w:right w:val="none" w:sz="0" w:space="0" w:color="auto"/>
      </w:divBdr>
    </w:div>
    <w:div w:id="816605347">
      <w:bodyDiv w:val="1"/>
      <w:marLeft w:val="0"/>
      <w:marRight w:val="0"/>
      <w:marTop w:val="0"/>
      <w:marBottom w:val="0"/>
      <w:divBdr>
        <w:top w:val="none" w:sz="0" w:space="0" w:color="auto"/>
        <w:left w:val="none" w:sz="0" w:space="0" w:color="auto"/>
        <w:bottom w:val="none" w:sz="0" w:space="0" w:color="auto"/>
        <w:right w:val="none" w:sz="0" w:space="0" w:color="auto"/>
      </w:divBdr>
    </w:div>
    <w:div w:id="827206510">
      <w:bodyDiv w:val="1"/>
      <w:marLeft w:val="0"/>
      <w:marRight w:val="0"/>
      <w:marTop w:val="0"/>
      <w:marBottom w:val="0"/>
      <w:divBdr>
        <w:top w:val="none" w:sz="0" w:space="0" w:color="auto"/>
        <w:left w:val="none" w:sz="0" w:space="0" w:color="auto"/>
        <w:bottom w:val="none" w:sz="0" w:space="0" w:color="auto"/>
        <w:right w:val="none" w:sz="0" w:space="0" w:color="auto"/>
      </w:divBdr>
    </w:div>
    <w:div w:id="1104837372">
      <w:bodyDiv w:val="1"/>
      <w:marLeft w:val="0"/>
      <w:marRight w:val="0"/>
      <w:marTop w:val="0"/>
      <w:marBottom w:val="0"/>
      <w:divBdr>
        <w:top w:val="none" w:sz="0" w:space="0" w:color="auto"/>
        <w:left w:val="none" w:sz="0" w:space="0" w:color="auto"/>
        <w:bottom w:val="none" w:sz="0" w:space="0" w:color="auto"/>
        <w:right w:val="none" w:sz="0" w:space="0" w:color="auto"/>
      </w:divBdr>
    </w:div>
    <w:div w:id="11120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Радин Михаил Александрович</dc:creator>
  <cp:keywords/>
  <dc:description/>
  <cp:lastModifiedBy>Радин Михаил Александрович</cp:lastModifiedBy>
  <cp:revision>5</cp:revision>
  <dcterms:created xsi:type="dcterms:W3CDTF">2025-03-14T09:11:00Z</dcterms:created>
  <dcterms:modified xsi:type="dcterms:W3CDTF">2025-04-04T10:37:00Z</dcterms:modified>
</cp:coreProperties>
</file>